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F74" w:rsidRPr="00553DAD" w:rsidRDefault="00767F74" w:rsidP="00553DAD">
      <w:pPr>
        <w:ind w:firstLine="720"/>
        <w:rPr>
          <w:rFonts w:cs="Times New Roman"/>
          <w:szCs w:val="24"/>
        </w:rPr>
      </w:pPr>
    </w:p>
    <w:p w:rsidR="0067256A" w:rsidRPr="00553DAD" w:rsidRDefault="0067256A" w:rsidP="00553DAD">
      <w:pPr>
        <w:ind w:firstLine="720"/>
        <w:rPr>
          <w:rFonts w:cs="Times New Roman"/>
          <w:szCs w:val="24"/>
        </w:rPr>
      </w:pPr>
    </w:p>
    <w:p w:rsidR="0067256A" w:rsidRPr="00553DAD" w:rsidRDefault="0067256A" w:rsidP="00553DAD">
      <w:pPr>
        <w:ind w:firstLine="720"/>
        <w:rPr>
          <w:rFonts w:cs="Times New Roman"/>
          <w:szCs w:val="24"/>
        </w:rPr>
      </w:pPr>
    </w:p>
    <w:p w:rsidR="00B943D9" w:rsidRPr="00553DAD" w:rsidRDefault="00B943D9" w:rsidP="00553DAD">
      <w:pPr>
        <w:ind w:firstLine="720"/>
        <w:rPr>
          <w:rFonts w:cs="Times New Roman"/>
          <w:szCs w:val="24"/>
        </w:rPr>
      </w:pPr>
    </w:p>
    <w:p w:rsidR="00B943D9" w:rsidRPr="00553DAD" w:rsidRDefault="00B943D9" w:rsidP="00553DAD">
      <w:pPr>
        <w:ind w:firstLine="720"/>
        <w:rPr>
          <w:rFonts w:cs="Times New Roman"/>
          <w:szCs w:val="24"/>
        </w:rPr>
      </w:pPr>
    </w:p>
    <w:p w:rsidR="00553DAD" w:rsidRPr="00553DAD" w:rsidRDefault="00553DAD" w:rsidP="00553DAD">
      <w:pPr>
        <w:ind w:firstLine="720"/>
        <w:jc w:val="center"/>
        <w:rPr>
          <w:rFonts w:cs="Times New Roman"/>
          <w:color w:val="505151"/>
          <w:szCs w:val="24"/>
          <w:shd w:val="clear" w:color="auto" w:fill="FFFFFF"/>
        </w:rPr>
      </w:pPr>
      <w:r w:rsidRPr="00553DAD">
        <w:rPr>
          <w:rFonts w:cs="Times New Roman"/>
          <w:color w:val="505151"/>
          <w:szCs w:val="24"/>
          <w:shd w:val="clear" w:color="auto" w:fill="FFFFFF"/>
        </w:rPr>
        <w:t>Prevention of Catheter Associated Urinary Tract Infection</w:t>
      </w:r>
    </w:p>
    <w:p w:rsidR="0067256A" w:rsidRPr="00553DAD" w:rsidRDefault="00F17B60" w:rsidP="00553DAD">
      <w:pPr>
        <w:ind w:firstLine="720"/>
        <w:jc w:val="center"/>
        <w:rPr>
          <w:rFonts w:cs="Times New Roman"/>
          <w:szCs w:val="24"/>
        </w:rPr>
      </w:pPr>
      <w:r w:rsidRPr="00553DAD">
        <w:rPr>
          <w:rFonts w:cs="Times New Roman"/>
          <w:szCs w:val="24"/>
        </w:rPr>
        <w:t>Name</w:t>
      </w:r>
    </w:p>
    <w:p w:rsidR="00F17B60" w:rsidRPr="00553DAD" w:rsidRDefault="00F17B60" w:rsidP="00553DAD">
      <w:pPr>
        <w:ind w:firstLine="720"/>
        <w:jc w:val="center"/>
        <w:rPr>
          <w:rFonts w:cs="Times New Roman"/>
          <w:szCs w:val="24"/>
        </w:rPr>
      </w:pPr>
      <w:r w:rsidRPr="00553DAD">
        <w:rPr>
          <w:rFonts w:cs="Times New Roman"/>
          <w:szCs w:val="24"/>
        </w:rPr>
        <w:t>Instructor</w:t>
      </w:r>
    </w:p>
    <w:p w:rsidR="00F17B60" w:rsidRPr="00553DAD" w:rsidRDefault="00F17B60" w:rsidP="00553DAD">
      <w:pPr>
        <w:ind w:firstLine="720"/>
        <w:jc w:val="center"/>
        <w:rPr>
          <w:rFonts w:cs="Times New Roman"/>
          <w:szCs w:val="24"/>
        </w:rPr>
      </w:pPr>
      <w:r w:rsidRPr="00553DAD">
        <w:rPr>
          <w:rFonts w:cs="Times New Roman"/>
          <w:szCs w:val="24"/>
        </w:rPr>
        <w:t>Course</w:t>
      </w:r>
    </w:p>
    <w:p w:rsidR="00F17B60" w:rsidRPr="00553DAD" w:rsidRDefault="00F17B60" w:rsidP="00553DAD">
      <w:pPr>
        <w:ind w:firstLine="720"/>
        <w:jc w:val="center"/>
        <w:rPr>
          <w:rFonts w:cs="Times New Roman"/>
          <w:szCs w:val="24"/>
        </w:rPr>
      </w:pPr>
      <w:r w:rsidRPr="00553DAD">
        <w:rPr>
          <w:rFonts w:cs="Times New Roman"/>
          <w:szCs w:val="24"/>
        </w:rPr>
        <w:t>Date</w:t>
      </w:r>
    </w:p>
    <w:p w:rsidR="00F17B60" w:rsidRPr="00553DAD" w:rsidRDefault="00F17B60" w:rsidP="00553DAD">
      <w:pPr>
        <w:ind w:firstLine="720"/>
        <w:jc w:val="center"/>
        <w:rPr>
          <w:rFonts w:cs="Times New Roman"/>
          <w:szCs w:val="24"/>
        </w:rPr>
      </w:pPr>
    </w:p>
    <w:p w:rsidR="0067256A" w:rsidRPr="00553DAD" w:rsidRDefault="0067256A" w:rsidP="00553DAD">
      <w:pPr>
        <w:ind w:firstLine="720"/>
        <w:jc w:val="center"/>
        <w:rPr>
          <w:rFonts w:cs="Times New Roman"/>
          <w:szCs w:val="24"/>
        </w:rPr>
      </w:pPr>
    </w:p>
    <w:p w:rsidR="0067256A" w:rsidRPr="00553DAD" w:rsidRDefault="0067256A" w:rsidP="00553DAD">
      <w:pPr>
        <w:ind w:firstLine="720"/>
        <w:jc w:val="center"/>
        <w:rPr>
          <w:rFonts w:cs="Times New Roman"/>
          <w:szCs w:val="24"/>
        </w:rPr>
      </w:pPr>
    </w:p>
    <w:p w:rsidR="0067256A" w:rsidRPr="00553DAD" w:rsidRDefault="0067256A" w:rsidP="00553DAD">
      <w:pPr>
        <w:ind w:firstLine="720"/>
        <w:jc w:val="center"/>
        <w:rPr>
          <w:rFonts w:cs="Times New Roman"/>
          <w:szCs w:val="24"/>
        </w:rPr>
      </w:pPr>
    </w:p>
    <w:p w:rsidR="0067256A" w:rsidRPr="00553DAD" w:rsidRDefault="0067256A" w:rsidP="00553DAD">
      <w:pPr>
        <w:ind w:firstLine="720"/>
        <w:jc w:val="center"/>
        <w:rPr>
          <w:rFonts w:cs="Times New Roman"/>
          <w:szCs w:val="24"/>
        </w:rPr>
      </w:pPr>
    </w:p>
    <w:p w:rsidR="00553DAD" w:rsidRPr="00553DAD" w:rsidRDefault="00553DAD" w:rsidP="00553DAD">
      <w:pPr>
        <w:ind w:firstLine="720"/>
        <w:jc w:val="center"/>
        <w:rPr>
          <w:rFonts w:cs="Times New Roman"/>
          <w:szCs w:val="24"/>
        </w:rPr>
      </w:pPr>
    </w:p>
    <w:p w:rsidR="00B943D9" w:rsidRPr="00553DAD" w:rsidRDefault="00B943D9" w:rsidP="00553DAD">
      <w:pPr>
        <w:rPr>
          <w:rFonts w:cs="Times New Roman"/>
          <w:b/>
          <w:szCs w:val="24"/>
        </w:rPr>
      </w:pPr>
    </w:p>
    <w:sdt>
      <w:sdtPr>
        <w:rPr>
          <w:rFonts w:ascii="Times New Roman" w:eastAsiaTheme="minorHAnsi" w:hAnsi="Times New Roman" w:cs="Times New Roman"/>
          <w:b w:val="0"/>
          <w:bCs w:val="0"/>
          <w:color w:val="auto"/>
          <w:sz w:val="24"/>
          <w:szCs w:val="24"/>
          <w:lang w:eastAsia="en-US"/>
        </w:rPr>
        <w:id w:val="1310601698"/>
        <w:docPartObj>
          <w:docPartGallery w:val="Table of Contents"/>
          <w:docPartUnique/>
        </w:docPartObj>
      </w:sdtPr>
      <w:sdtEndPr>
        <w:rPr>
          <w:noProof/>
        </w:rPr>
      </w:sdtEndPr>
      <w:sdtContent>
        <w:p w:rsidR="008B50D6" w:rsidRPr="00553DAD" w:rsidRDefault="008B50D6" w:rsidP="00553DAD">
          <w:pPr>
            <w:pStyle w:val="TOCHeading"/>
            <w:spacing w:line="480" w:lineRule="auto"/>
            <w:ind w:firstLine="720"/>
            <w:rPr>
              <w:rFonts w:ascii="Times New Roman" w:hAnsi="Times New Roman" w:cs="Times New Roman"/>
              <w:b w:val="0"/>
              <w:color w:val="auto"/>
              <w:sz w:val="24"/>
              <w:szCs w:val="24"/>
            </w:rPr>
          </w:pPr>
          <w:r w:rsidRPr="00553DAD">
            <w:rPr>
              <w:rFonts w:ascii="Times New Roman" w:hAnsi="Times New Roman" w:cs="Times New Roman"/>
              <w:b w:val="0"/>
              <w:color w:val="auto"/>
              <w:sz w:val="24"/>
              <w:szCs w:val="24"/>
            </w:rPr>
            <w:t>Contents</w:t>
          </w:r>
        </w:p>
        <w:p w:rsidR="008B50D6" w:rsidRPr="00553DAD" w:rsidRDefault="00C13856" w:rsidP="00553DAD">
          <w:pPr>
            <w:pStyle w:val="TOC1"/>
            <w:tabs>
              <w:tab w:val="right" w:leader="dot" w:pos="9350"/>
            </w:tabs>
            <w:ind w:firstLine="720"/>
            <w:rPr>
              <w:rFonts w:cs="Times New Roman"/>
              <w:noProof/>
              <w:szCs w:val="24"/>
            </w:rPr>
          </w:pPr>
          <w:r w:rsidRPr="00C13856">
            <w:rPr>
              <w:rFonts w:cs="Times New Roman"/>
              <w:szCs w:val="24"/>
            </w:rPr>
            <w:fldChar w:fldCharType="begin"/>
          </w:r>
          <w:r w:rsidR="008B50D6" w:rsidRPr="00553DAD">
            <w:rPr>
              <w:rFonts w:cs="Times New Roman"/>
              <w:szCs w:val="24"/>
            </w:rPr>
            <w:instrText xml:space="preserve"> TOC \o "1-3" \h \z \u </w:instrText>
          </w:r>
          <w:r w:rsidRPr="00C13856">
            <w:rPr>
              <w:rFonts w:cs="Times New Roman"/>
              <w:szCs w:val="24"/>
            </w:rPr>
            <w:fldChar w:fldCharType="separate"/>
          </w:r>
          <w:hyperlink w:anchor="_Toc502258646" w:history="1">
            <w:r w:rsidR="008B50D6" w:rsidRPr="00553DAD">
              <w:rPr>
                <w:rStyle w:val="Hyperlink"/>
                <w:rFonts w:cs="Times New Roman"/>
                <w:noProof/>
                <w:szCs w:val="24"/>
              </w:rPr>
              <w:t>1.0 Abstract</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_Toc502258646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2</w:t>
            </w:r>
            <w:r w:rsidRPr="00553DAD">
              <w:rPr>
                <w:rFonts w:cs="Times New Roman"/>
                <w:noProof/>
                <w:webHidden/>
                <w:szCs w:val="24"/>
              </w:rPr>
              <w:fldChar w:fldCharType="end"/>
            </w:r>
          </w:hyperlink>
        </w:p>
        <w:p w:rsidR="008B50D6" w:rsidRPr="00553DAD" w:rsidRDefault="00C13856" w:rsidP="00553DAD">
          <w:pPr>
            <w:pStyle w:val="TOC1"/>
            <w:tabs>
              <w:tab w:val="right" w:leader="dot" w:pos="9350"/>
            </w:tabs>
            <w:ind w:firstLine="720"/>
            <w:rPr>
              <w:rFonts w:cs="Times New Roman"/>
              <w:noProof/>
              <w:szCs w:val="24"/>
            </w:rPr>
          </w:pPr>
          <w:hyperlink w:anchor="_Toc502258647" w:history="1">
            <w:r w:rsidR="008B50D6" w:rsidRPr="00553DAD">
              <w:rPr>
                <w:rStyle w:val="Hyperlink"/>
                <w:rFonts w:cs="Times New Roman"/>
                <w:noProof/>
                <w:szCs w:val="24"/>
              </w:rPr>
              <w:t>2.0 Introduction</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_Toc502258647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3</w:t>
            </w:r>
            <w:r w:rsidRPr="00553DAD">
              <w:rPr>
                <w:rFonts w:cs="Times New Roman"/>
                <w:noProof/>
                <w:webHidden/>
                <w:szCs w:val="24"/>
              </w:rPr>
              <w:fldChar w:fldCharType="end"/>
            </w:r>
          </w:hyperlink>
        </w:p>
        <w:p w:rsidR="008B50D6" w:rsidRPr="00553DAD" w:rsidRDefault="00C13856" w:rsidP="00553DAD">
          <w:pPr>
            <w:pStyle w:val="TOC1"/>
            <w:tabs>
              <w:tab w:val="right" w:leader="dot" w:pos="9350"/>
            </w:tabs>
            <w:ind w:firstLine="720"/>
            <w:rPr>
              <w:rFonts w:cs="Times New Roman"/>
              <w:noProof/>
              <w:szCs w:val="24"/>
            </w:rPr>
          </w:pPr>
          <w:hyperlink w:anchor="_Toc502258648" w:history="1">
            <w:r w:rsidR="008B50D6" w:rsidRPr="00553DAD">
              <w:rPr>
                <w:rStyle w:val="Hyperlink"/>
                <w:rFonts w:cs="Times New Roman"/>
                <w:noProof/>
                <w:szCs w:val="24"/>
              </w:rPr>
              <w:t>3.0 Bacterial biofilm</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_Toc502258648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4</w:t>
            </w:r>
            <w:r w:rsidRPr="00553DAD">
              <w:rPr>
                <w:rFonts w:cs="Times New Roman"/>
                <w:noProof/>
                <w:webHidden/>
                <w:szCs w:val="24"/>
              </w:rPr>
              <w:fldChar w:fldCharType="end"/>
            </w:r>
          </w:hyperlink>
        </w:p>
        <w:p w:rsidR="008B50D6" w:rsidRPr="00553DAD" w:rsidRDefault="00C13856" w:rsidP="00553DAD">
          <w:pPr>
            <w:pStyle w:val="TOC1"/>
            <w:tabs>
              <w:tab w:val="right" w:leader="dot" w:pos="9350"/>
            </w:tabs>
            <w:ind w:firstLine="720"/>
            <w:rPr>
              <w:rFonts w:cs="Times New Roman"/>
              <w:noProof/>
              <w:szCs w:val="24"/>
            </w:rPr>
          </w:pPr>
          <w:hyperlink w:anchor="_Toc502258649" w:history="1">
            <w:r w:rsidR="008B50D6" w:rsidRPr="00553DAD">
              <w:rPr>
                <w:rStyle w:val="Hyperlink"/>
                <w:rFonts w:cs="Times New Roman"/>
                <w:noProof/>
                <w:szCs w:val="24"/>
              </w:rPr>
              <w:t>4.0 Effective prevention measures for CAUTI</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_Toc502258649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5</w:t>
            </w:r>
            <w:r w:rsidRPr="00553DAD">
              <w:rPr>
                <w:rFonts w:cs="Times New Roman"/>
                <w:noProof/>
                <w:webHidden/>
                <w:szCs w:val="24"/>
              </w:rPr>
              <w:fldChar w:fldCharType="end"/>
            </w:r>
          </w:hyperlink>
        </w:p>
        <w:p w:rsidR="008B50D6" w:rsidRPr="00553DAD" w:rsidRDefault="00C13856" w:rsidP="00553DAD">
          <w:pPr>
            <w:pStyle w:val="TOC2"/>
            <w:tabs>
              <w:tab w:val="right" w:leader="dot" w:pos="9350"/>
            </w:tabs>
            <w:ind w:firstLine="720"/>
            <w:rPr>
              <w:rFonts w:cs="Times New Roman"/>
              <w:noProof/>
              <w:szCs w:val="24"/>
            </w:rPr>
          </w:pPr>
          <w:hyperlink w:anchor="_Toc502258650" w:history="1">
            <w:r w:rsidR="008B50D6" w:rsidRPr="00553DAD">
              <w:rPr>
                <w:rStyle w:val="Hyperlink"/>
                <w:rFonts w:cs="Times New Roman"/>
                <w:noProof/>
                <w:szCs w:val="24"/>
              </w:rPr>
              <w:t>4.1 Prevention of biofilm formation</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_Toc502258650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5</w:t>
            </w:r>
            <w:r w:rsidRPr="00553DAD">
              <w:rPr>
                <w:rFonts w:cs="Times New Roman"/>
                <w:noProof/>
                <w:webHidden/>
                <w:szCs w:val="24"/>
              </w:rPr>
              <w:fldChar w:fldCharType="end"/>
            </w:r>
          </w:hyperlink>
        </w:p>
        <w:p w:rsidR="008B50D6" w:rsidRPr="00553DAD" w:rsidRDefault="00C13856" w:rsidP="00553DAD">
          <w:pPr>
            <w:pStyle w:val="TOC2"/>
            <w:tabs>
              <w:tab w:val="right" w:leader="dot" w:pos="9350"/>
            </w:tabs>
            <w:ind w:firstLine="720"/>
            <w:rPr>
              <w:rFonts w:cs="Times New Roman"/>
              <w:noProof/>
              <w:szCs w:val="24"/>
            </w:rPr>
          </w:pPr>
          <w:hyperlink w:anchor="_Toc502258651" w:history="1">
            <w:r w:rsidR="008B50D6" w:rsidRPr="00553DAD">
              <w:rPr>
                <w:rStyle w:val="Hyperlink"/>
                <w:rFonts w:cs="Times New Roman"/>
                <w:noProof/>
                <w:szCs w:val="24"/>
              </w:rPr>
              <w:t>4.2 Urinary catheter selection</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_Toc502258651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6</w:t>
            </w:r>
            <w:r w:rsidRPr="00553DAD">
              <w:rPr>
                <w:rFonts w:cs="Times New Roman"/>
                <w:noProof/>
                <w:webHidden/>
                <w:szCs w:val="24"/>
              </w:rPr>
              <w:fldChar w:fldCharType="end"/>
            </w:r>
          </w:hyperlink>
        </w:p>
        <w:p w:rsidR="008B50D6" w:rsidRPr="00553DAD" w:rsidRDefault="00C13856" w:rsidP="00553DAD">
          <w:pPr>
            <w:pStyle w:val="TOC2"/>
            <w:tabs>
              <w:tab w:val="right" w:leader="dot" w:pos="9350"/>
            </w:tabs>
            <w:ind w:firstLine="720"/>
            <w:rPr>
              <w:rFonts w:cs="Times New Roman"/>
              <w:noProof/>
              <w:szCs w:val="24"/>
            </w:rPr>
          </w:pPr>
          <w:hyperlink w:anchor="_Toc502258652" w:history="1">
            <w:r w:rsidR="008B50D6" w:rsidRPr="00553DAD">
              <w:rPr>
                <w:rStyle w:val="Hyperlink"/>
                <w:rFonts w:cs="Times New Roman"/>
                <w:noProof/>
                <w:szCs w:val="24"/>
              </w:rPr>
              <w:t>4.3 Insertion of catheter and maintenance</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_Toc502258652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7</w:t>
            </w:r>
            <w:r w:rsidRPr="00553DAD">
              <w:rPr>
                <w:rFonts w:cs="Times New Roman"/>
                <w:noProof/>
                <w:webHidden/>
                <w:szCs w:val="24"/>
              </w:rPr>
              <w:fldChar w:fldCharType="end"/>
            </w:r>
          </w:hyperlink>
        </w:p>
        <w:p w:rsidR="008B50D6" w:rsidRPr="00553DAD" w:rsidRDefault="00C13856" w:rsidP="00553DAD">
          <w:pPr>
            <w:pStyle w:val="TOC2"/>
            <w:tabs>
              <w:tab w:val="right" w:leader="dot" w:pos="9350"/>
            </w:tabs>
            <w:ind w:firstLine="720"/>
            <w:rPr>
              <w:rFonts w:cs="Times New Roman"/>
              <w:noProof/>
              <w:szCs w:val="24"/>
            </w:rPr>
          </w:pPr>
          <w:hyperlink w:anchor="_Toc502258653" w:history="1">
            <w:r w:rsidR="008B50D6" w:rsidRPr="00553DAD">
              <w:rPr>
                <w:rStyle w:val="Hyperlink"/>
                <w:rFonts w:cs="Times New Roman"/>
                <w:noProof/>
                <w:szCs w:val="24"/>
              </w:rPr>
              <w:t>4.4 Monitoring of infection</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_Toc502258653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8</w:t>
            </w:r>
            <w:r w:rsidRPr="00553DAD">
              <w:rPr>
                <w:rFonts w:cs="Times New Roman"/>
                <w:noProof/>
                <w:webHidden/>
                <w:szCs w:val="24"/>
              </w:rPr>
              <w:fldChar w:fldCharType="end"/>
            </w:r>
          </w:hyperlink>
        </w:p>
        <w:p w:rsidR="008B50D6" w:rsidRPr="00553DAD" w:rsidRDefault="00C13856" w:rsidP="00553DAD">
          <w:pPr>
            <w:pStyle w:val="TOC1"/>
            <w:tabs>
              <w:tab w:val="right" w:leader="dot" w:pos="9350"/>
            </w:tabs>
            <w:ind w:firstLine="720"/>
            <w:rPr>
              <w:rFonts w:cs="Times New Roman"/>
              <w:noProof/>
              <w:szCs w:val="24"/>
            </w:rPr>
          </w:pPr>
          <w:hyperlink w:anchor="_Toc502258654" w:history="1">
            <w:r w:rsidR="008B50D6" w:rsidRPr="00553DAD">
              <w:rPr>
                <w:rStyle w:val="Hyperlink"/>
                <w:rFonts w:cs="Times New Roman"/>
                <w:noProof/>
                <w:szCs w:val="24"/>
              </w:rPr>
              <w:t>5.0 Conclusions</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_Toc502258654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8</w:t>
            </w:r>
            <w:r w:rsidRPr="00553DAD">
              <w:rPr>
                <w:rFonts w:cs="Times New Roman"/>
                <w:noProof/>
                <w:webHidden/>
                <w:szCs w:val="24"/>
              </w:rPr>
              <w:fldChar w:fldCharType="end"/>
            </w:r>
          </w:hyperlink>
        </w:p>
        <w:p w:rsidR="008B50D6" w:rsidRPr="00553DAD" w:rsidRDefault="00C13856" w:rsidP="00553DAD">
          <w:pPr>
            <w:pStyle w:val="TOC1"/>
            <w:tabs>
              <w:tab w:val="right" w:leader="dot" w:pos="9350"/>
            </w:tabs>
            <w:ind w:firstLine="720"/>
            <w:rPr>
              <w:rFonts w:cs="Times New Roman"/>
              <w:noProof/>
              <w:szCs w:val="24"/>
            </w:rPr>
          </w:pPr>
          <w:hyperlink w:anchor="_Toc502258655" w:history="1">
            <w:r w:rsidR="008B50D6" w:rsidRPr="00553DAD">
              <w:rPr>
                <w:rStyle w:val="Hyperlink"/>
                <w:rFonts w:cs="Times New Roman"/>
                <w:noProof/>
                <w:szCs w:val="24"/>
              </w:rPr>
              <w:t>6.0 REFERENCE</w:t>
            </w:r>
            <w:r w:rsidR="008B50D6" w:rsidRPr="00553DAD">
              <w:rPr>
                <w:rFonts w:cs="Times New Roman"/>
                <w:noProof/>
                <w:webHidden/>
                <w:szCs w:val="24"/>
              </w:rPr>
              <w:tab/>
            </w:r>
            <w:r w:rsidRPr="00553DAD">
              <w:rPr>
                <w:rFonts w:cs="Times New Roman"/>
                <w:noProof/>
                <w:webHidden/>
                <w:szCs w:val="24"/>
              </w:rPr>
              <w:fldChar w:fldCharType="begin"/>
            </w:r>
            <w:r w:rsidR="008B50D6" w:rsidRPr="00553DAD">
              <w:rPr>
                <w:rFonts w:cs="Times New Roman"/>
                <w:noProof/>
                <w:webHidden/>
                <w:szCs w:val="24"/>
              </w:rPr>
              <w:instrText xml:space="preserve"> PAGEREF _Toc502258655 \h </w:instrText>
            </w:r>
            <w:r w:rsidRPr="00553DAD">
              <w:rPr>
                <w:rFonts w:cs="Times New Roman"/>
                <w:noProof/>
                <w:webHidden/>
                <w:szCs w:val="24"/>
              </w:rPr>
            </w:r>
            <w:r w:rsidRPr="00553DAD">
              <w:rPr>
                <w:rFonts w:cs="Times New Roman"/>
                <w:noProof/>
                <w:webHidden/>
                <w:szCs w:val="24"/>
              </w:rPr>
              <w:fldChar w:fldCharType="separate"/>
            </w:r>
            <w:r w:rsidR="008B50D6" w:rsidRPr="00553DAD">
              <w:rPr>
                <w:rFonts w:cs="Times New Roman"/>
                <w:noProof/>
                <w:webHidden/>
                <w:szCs w:val="24"/>
              </w:rPr>
              <w:t>10</w:t>
            </w:r>
            <w:r w:rsidRPr="00553DAD">
              <w:rPr>
                <w:rFonts w:cs="Times New Roman"/>
                <w:noProof/>
                <w:webHidden/>
                <w:szCs w:val="24"/>
              </w:rPr>
              <w:fldChar w:fldCharType="end"/>
            </w:r>
          </w:hyperlink>
        </w:p>
        <w:p w:rsidR="00865E36" w:rsidRPr="00553DAD" w:rsidRDefault="00C13856" w:rsidP="00553DAD">
          <w:pPr>
            <w:ind w:firstLine="720"/>
            <w:rPr>
              <w:rFonts w:cs="Times New Roman"/>
              <w:b/>
              <w:bCs/>
              <w:noProof/>
              <w:szCs w:val="24"/>
            </w:rPr>
          </w:pPr>
          <w:r w:rsidRPr="00553DAD">
            <w:rPr>
              <w:rFonts w:cs="Times New Roman"/>
              <w:b/>
              <w:bCs/>
              <w:noProof/>
              <w:szCs w:val="24"/>
            </w:rPr>
            <w:fldChar w:fldCharType="end"/>
          </w:r>
        </w:p>
      </w:sdtContent>
    </w:sdt>
    <w:bookmarkStart w:id="0" w:name="_Toc502258646" w:displacedByCustomXml="prev"/>
    <w:p w:rsidR="00865E36" w:rsidRPr="00553DAD" w:rsidRDefault="00865E36" w:rsidP="00553DAD">
      <w:pPr>
        <w:ind w:firstLine="720"/>
        <w:rPr>
          <w:rFonts w:cs="Times New Roman"/>
          <w:szCs w:val="24"/>
        </w:rPr>
      </w:pPr>
    </w:p>
    <w:p w:rsidR="00865E36" w:rsidRPr="00553DAD" w:rsidRDefault="00865E36" w:rsidP="00553DAD">
      <w:pPr>
        <w:ind w:firstLine="720"/>
        <w:rPr>
          <w:rFonts w:cs="Times New Roman"/>
          <w:szCs w:val="24"/>
        </w:rPr>
      </w:pPr>
    </w:p>
    <w:p w:rsidR="00865E36" w:rsidRPr="00553DAD" w:rsidRDefault="00865E36" w:rsidP="00553DAD">
      <w:pPr>
        <w:ind w:firstLine="720"/>
        <w:rPr>
          <w:rFonts w:cs="Times New Roman"/>
          <w:szCs w:val="24"/>
        </w:rPr>
      </w:pPr>
    </w:p>
    <w:p w:rsidR="00865E36" w:rsidRPr="00553DAD" w:rsidRDefault="00865E36" w:rsidP="00553DAD">
      <w:pPr>
        <w:ind w:firstLine="720"/>
        <w:rPr>
          <w:rFonts w:cs="Times New Roman"/>
          <w:szCs w:val="24"/>
        </w:rPr>
      </w:pPr>
    </w:p>
    <w:p w:rsidR="00865E36" w:rsidRPr="00553DAD" w:rsidRDefault="00865E36" w:rsidP="00553DAD">
      <w:pPr>
        <w:ind w:firstLine="720"/>
        <w:rPr>
          <w:rFonts w:cs="Times New Roman"/>
          <w:szCs w:val="24"/>
        </w:rPr>
      </w:pPr>
    </w:p>
    <w:p w:rsidR="00865E36" w:rsidRPr="00553DAD" w:rsidRDefault="00865E36" w:rsidP="00553DAD">
      <w:pPr>
        <w:ind w:firstLine="720"/>
        <w:rPr>
          <w:rFonts w:cs="Times New Roman"/>
          <w:szCs w:val="24"/>
        </w:rPr>
      </w:pPr>
    </w:p>
    <w:p w:rsidR="00865E36" w:rsidRPr="00553DAD" w:rsidRDefault="00865E36" w:rsidP="00553DAD">
      <w:pPr>
        <w:ind w:firstLine="720"/>
        <w:rPr>
          <w:rFonts w:cs="Times New Roman"/>
          <w:szCs w:val="24"/>
        </w:rPr>
      </w:pPr>
    </w:p>
    <w:p w:rsidR="0067256A" w:rsidRPr="00553DAD" w:rsidRDefault="008B50D6" w:rsidP="00553DAD">
      <w:pPr>
        <w:rPr>
          <w:rFonts w:cs="Times New Roman"/>
          <w:szCs w:val="24"/>
        </w:rPr>
      </w:pPr>
      <w:r w:rsidRPr="00553DAD">
        <w:rPr>
          <w:rFonts w:cs="Times New Roman"/>
          <w:szCs w:val="24"/>
        </w:rPr>
        <w:lastRenderedPageBreak/>
        <w:t>1.0</w:t>
      </w:r>
      <w:r w:rsidR="0067256A" w:rsidRPr="00553DAD">
        <w:rPr>
          <w:rFonts w:cs="Times New Roman"/>
          <w:szCs w:val="24"/>
        </w:rPr>
        <w:t>Abstract</w:t>
      </w:r>
      <w:bookmarkEnd w:id="0"/>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Urinary Catheter causes some common Urinary tract infections in many patients. The biofilm of bacteria develops on the devices and ultimately causing severe infections. Scientific study shows that the high-frequency use of the catheter is the primary cause tract infections to the majority of patients around the world. Further, the more the indwelling Catheter remains in the patient’s body, the more likely infections are to occur. For prevention measures, patients are advised not to use catheters for an extended period especially when it is not necessary. This research aims to point out the most effective prevention measure available today for reduction of Catheter-Associated Urinary Tract Infection (CAUTI) (Trautner et al., 2015). Worthy to point here is that the most recommended way of CAUTI is to stop using the device as soon as when the doctor prescribes. Some other infections come as a way of negligence on the part of the patient or the clinical officers. Effective measures should be in place to make sure the process of catheterization is done by qualified doctors who possess immense knowledge in the field. The process should be slow and effectively executed. The patient using urinary catheter must be advised accordingly on how to handle the indwelling device and how to conduct in every degree at all times and to report side effect experienced. It is recommended that the doctor must be in touch with the patient at regular basis addressing every arising case about the progress of the patient. The infection control programs should be in place to monitor the progress of the patient and always try to keep infections at bay. Strategies must be developed to reduce catheter-related infections including surveillance of the use of the device. Finally, technical advances are required to reduce biofilm formation and prevent infections.</w:t>
      </w:r>
    </w:p>
    <w:p w:rsidR="008B50D6" w:rsidRPr="00553DAD" w:rsidRDefault="008B50D6" w:rsidP="00553DAD">
      <w:pPr>
        <w:rPr>
          <w:rFonts w:cs="Times New Roman"/>
          <w:szCs w:val="24"/>
        </w:rPr>
      </w:pPr>
      <w:bookmarkStart w:id="1" w:name="_Toc502258647"/>
      <w:r w:rsidRPr="00553DAD">
        <w:rPr>
          <w:rFonts w:cs="Times New Roman"/>
          <w:szCs w:val="24"/>
        </w:rPr>
        <w:t>2.0 Introduction</w:t>
      </w:r>
      <w:bookmarkEnd w:id="1"/>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lastRenderedPageBreak/>
        <w:t>According to National Healthcare Safety Network (NHSN), Urinary Tract Infection is defined as an infection occurring in one or several parts of the urinary tract. The urinary system consists of the urethra, kidney, and ureters. In the view of NHSN, urinary tract infection is the most reported type of infection in many healthcare facilities. The infections are primarily associated with the urinary catheter and are currently rated at 75% of all commo</w:t>
      </w:r>
      <w:r w:rsidR="00F17B60" w:rsidRPr="00553DAD">
        <w:rPr>
          <w:rFonts w:cs="Times New Roman"/>
          <w:szCs w:val="24"/>
        </w:rPr>
        <w:t>n cases reported. According to Christopher (</w:t>
      </w:r>
      <w:r w:rsidRPr="00553DAD">
        <w:rPr>
          <w:rFonts w:cs="Times New Roman"/>
          <w:szCs w:val="24"/>
        </w:rPr>
        <w:t xml:space="preserve">1986) the catheter is defined as a tube passed through the urethra to the bladder to drain urine. Urinary Tract Infection (UTI) is the risky urinary infection, associated with the use of catheter according to the recent survey concluded by the experts from Healthcare-association Infection.  They found that the most common cause of the disease is the duration of catheter use by the patient. The prolonged use of the tube is found to be the main cause of urinary infection. Therefore, patients must use this tube only when it is necessary and when it is authorized by clinical experts who qualify to do so. The patient must always keep in touch with the doctor for advice and directions for the period of the use. It is suggested that catheter should be removed as soon as it is no longer required by the patient. </w:t>
      </w:r>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This research will aim to analyze factual scientific information available about catheter-related infection and come up with effective prevention measures. The dilemma that surrounds infective prevention methods will be dealt with and included in this report. Recent prevalence report released to the scholars’ viewpoints shows that 17.5% of the patients in European hospitals are living with the urinary catheter. It was found to be the most used indwelling device in Europe. This means that catheter use is common in the majority of European countries estimated at 66 and in almost every health center</w:t>
      </w:r>
      <w:r w:rsidR="00553DAD">
        <w:rPr>
          <w:rFonts w:cs="Times New Roman"/>
          <w:szCs w:val="24"/>
        </w:rPr>
        <w:t xml:space="preserve"> </w:t>
      </w:r>
      <w:r w:rsidR="00553DAD">
        <w:rPr>
          <w:rFonts w:cs="Times New Roman"/>
          <w:szCs w:val="24"/>
          <w:shd w:val="clear" w:color="auto" w:fill="FFFFFF"/>
        </w:rPr>
        <w:t>(</w:t>
      </w:r>
      <w:r w:rsidR="00553DAD" w:rsidRPr="00553DAD">
        <w:rPr>
          <w:rFonts w:cs="Times New Roman"/>
          <w:szCs w:val="24"/>
          <w:shd w:val="clear" w:color="auto" w:fill="FFFFFF"/>
        </w:rPr>
        <w:t>Trautner, Grigoryan, Petersen, Hysong, Cadena, Patterson,., &amp;Naik,</w:t>
      </w:r>
      <w:r w:rsidR="00553DAD">
        <w:rPr>
          <w:rFonts w:cs="Times New Roman"/>
          <w:szCs w:val="24"/>
          <w:shd w:val="clear" w:color="auto" w:fill="FFFFFF"/>
        </w:rPr>
        <w:t xml:space="preserve"> 2015)</w:t>
      </w:r>
      <w:r w:rsidRPr="00553DAD">
        <w:rPr>
          <w:rFonts w:cs="Times New Roman"/>
          <w:szCs w:val="24"/>
        </w:rPr>
        <w:t xml:space="preserve">. The only side effect that is associated with the used catheter is infections to the urinary organs. The inserted urinary catheter is considered to be short-term </w:t>
      </w:r>
      <w:r w:rsidRPr="00553DAD">
        <w:rPr>
          <w:rFonts w:cs="Times New Roman"/>
          <w:szCs w:val="24"/>
        </w:rPr>
        <w:lastRenderedPageBreak/>
        <w:t>when it is used for less than one month. If it is used more than one the indwelling urinary catheter is considered to be long term. Long-term or chronic catheters are administered in long-term care facilities and are common in infections. The clinical considerations always vary in short term and long term catheters.</w:t>
      </w:r>
    </w:p>
    <w:p w:rsidR="008B50D6" w:rsidRPr="00553DAD" w:rsidRDefault="008B50D6" w:rsidP="00553DAD">
      <w:pPr>
        <w:rPr>
          <w:rFonts w:cs="Times New Roman"/>
          <w:szCs w:val="24"/>
        </w:rPr>
      </w:pPr>
      <w:bookmarkStart w:id="2" w:name="_Toc502258648"/>
      <w:r w:rsidRPr="00553DAD">
        <w:rPr>
          <w:rFonts w:cs="Times New Roman"/>
          <w:szCs w:val="24"/>
        </w:rPr>
        <w:t>3.0 Bacterial biofilm</w:t>
      </w:r>
      <w:bookmarkEnd w:id="2"/>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 xml:space="preserve">The first task is to research on the primary cause of urinary tract infection associated with the indwelling catheter. Many scholars have agreed that the infection is a bacterial cause that comes as a result of device use. After a long time of catheter use, there occurs a biofilm that forms around the catheter that contains a group of bacteria. This bacterium is scientifically known as Planktonic bacteria when in a group. Due to the presence of urine that is not accompanied by cleaning substance, Foley catheter is covered by thick layer of bacteria that are formed around the device. The slow formation of bacterial biofilm continues to a point where the tube is fully colonized. Eventually, the diameter of the tube starts to reduce shrinks and poses a danger to the patient. The blockage of the catheter prevents the effective urine flow and increases the pressure on the patient. The volume of the urine taken out per event of urinating continues to reduce, and it becomes difficult for the bladder to give out all the urine in time. There is always residual urine left in the bladder even after a trial of taking them out. </w:t>
      </w:r>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 xml:space="preserve">During the research, it was concluded that biofilm could be detected in 73.4% of all the patients with CAUTI cases. This means that the condition is prevalence and immediate, lasting measures are to be put in place to address the issue. Further, Biofilm-based CAUTI was found to be an emerging problem in the medical field. It has high antibiotic resistance level, and this poses </w:t>
      </w:r>
      <w:r w:rsidRPr="00553DAD">
        <w:rPr>
          <w:rFonts w:cs="Times New Roman"/>
          <w:szCs w:val="24"/>
        </w:rPr>
        <w:lastRenderedPageBreak/>
        <w:t>a challenge to the patients. However, using the variables that affect the formation of biofilm, intervention measures can be developed and strategies implemented to deal with CAUTI cases.</w:t>
      </w:r>
    </w:p>
    <w:p w:rsidR="008B50D6" w:rsidRPr="00553DAD" w:rsidRDefault="008B50D6" w:rsidP="00553DAD">
      <w:pPr>
        <w:rPr>
          <w:rFonts w:cs="Times New Roman"/>
          <w:szCs w:val="24"/>
        </w:rPr>
      </w:pPr>
      <w:bookmarkStart w:id="3" w:name="_Toc502258649"/>
      <w:r w:rsidRPr="00553DAD">
        <w:rPr>
          <w:rFonts w:cs="Times New Roman"/>
          <w:szCs w:val="24"/>
        </w:rPr>
        <w:t>4.0 Effective prevention measures for CAUTI</w:t>
      </w:r>
      <w:bookmarkEnd w:id="3"/>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The current prevention guidelines are provided in the health facilities and recommendations given on the development and general maintenance of programs to prevent CAUTI. General prevention measures include avoidance of the use of the catheter, policies to adhere to catheter insertion, selection of the catheter, catheter use among others. This report has not recommended single method suitable for all patients</w:t>
      </w:r>
      <w:r w:rsidR="00553DAD" w:rsidRPr="00553DAD">
        <w:rPr>
          <w:rFonts w:cs="Times New Roman"/>
          <w:szCs w:val="24"/>
          <w:shd w:val="clear" w:color="auto" w:fill="FFFFFF"/>
        </w:rPr>
        <w:t xml:space="preserve"> </w:t>
      </w:r>
      <w:r w:rsidR="00553DAD">
        <w:rPr>
          <w:rFonts w:cs="Times New Roman"/>
          <w:szCs w:val="24"/>
          <w:shd w:val="clear" w:color="auto" w:fill="FFFFFF"/>
        </w:rPr>
        <w:t>(</w:t>
      </w:r>
      <w:r w:rsidR="00553DAD" w:rsidRPr="00553DAD">
        <w:rPr>
          <w:rFonts w:cs="Times New Roman"/>
          <w:szCs w:val="24"/>
          <w:shd w:val="clear" w:color="auto" w:fill="FFFFFF"/>
        </w:rPr>
        <w:t>Christopher,</w:t>
      </w:r>
      <w:r w:rsidR="00553DAD">
        <w:rPr>
          <w:rFonts w:cs="Times New Roman"/>
          <w:szCs w:val="24"/>
          <w:shd w:val="clear" w:color="auto" w:fill="FFFFFF"/>
        </w:rPr>
        <w:t xml:space="preserve"> 1986)</w:t>
      </w:r>
      <w:r w:rsidRPr="00553DAD">
        <w:rPr>
          <w:rFonts w:cs="Times New Roman"/>
          <w:szCs w:val="24"/>
        </w:rPr>
        <w:t>. The suitability and effectiveness of any of these prevention measures depend on several other factors. Patients respond differently to different types and sizes of catheters, and that is why one single step cannot be suggested. Some of these steps are discussed below.</w:t>
      </w:r>
    </w:p>
    <w:p w:rsidR="008B50D6" w:rsidRPr="00553DAD" w:rsidRDefault="008B50D6" w:rsidP="00553DAD">
      <w:pPr>
        <w:rPr>
          <w:rFonts w:cs="Times New Roman"/>
          <w:szCs w:val="24"/>
        </w:rPr>
      </w:pPr>
      <w:bookmarkStart w:id="4" w:name="_Toc502258650"/>
      <w:r w:rsidRPr="00553DAD">
        <w:rPr>
          <w:rFonts w:cs="Times New Roman"/>
          <w:szCs w:val="24"/>
        </w:rPr>
        <w:t>4.1 Prevention of biofilm formation</w:t>
      </w:r>
      <w:bookmarkEnd w:id="4"/>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 xml:space="preserve">According to </w:t>
      </w:r>
      <w:r w:rsidR="00553DAD">
        <w:rPr>
          <w:rFonts w:cs="Times New Roman"/>
          <w:szCs w:val="24"/>
        </w:rPr>
        <w:t>the journal of urology, (</w:t>
      </w:r>
      <w:r w:rsidRPr="00553DAD">
        <w:rPr>
          <w:rFonts w:cs="Times New Roman"/>
          <w:szCs w:val="24"/>
        </w:rPr>
        <w:t xml:space="preserve">Urol. 2004), the most effective means of UTI prevention is to disrupt the formation of bacteria. If the biofilm is not formed, it means that the likelihood of infection is low. Biofilm formed on the urinary catheter is the central theme to deal with in the attempt to prevent the subsequent infections. The available Foley catheters were found to be friendly to the bacteria causing infection. The modification of the catheter is the way to go. Silver alloy coating can impregnate catheters and be subjected to severe clinical testing. The coating silver is antimicrobial agents that cannot allow the habitation of bacteria. Beiko and his group recommended the coating and conducted eight tests to different patients. </w:t>
      </w:r>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 xml:space="preserve">It was found that there was a positive response to the effectiveness of the garget. Approximately, 95% of the test confirmed negative symptoms of the infections. There was a </w:t>
      </w:r>
      <w:r w:rsidRPr="00553DAD">
        <w:rPr>
          <w:rFonts w:cs="Times New Roman"/>
          <w:szCs w:val="24"/>
        </w:rPr>
        <w:lastRenderedPageBreak/>
        <w:t xml:space="preserve">reduced bacterium in the catheters coated with silver alloy for a short period of one week. This means that there is a lesser degree in bacteria formation in the silver surface as compared to other materials. The use of silver material had an overall effect of delaying the effect of the bacteria. It was found that biofilm formation is largely delayed in silver material and it may be suitable for short-term use to adult patients. Different silver coatings are all effective with no exceptional case reported. The general conclusion is that standard catheters can be coated with antimicrobial agents like silver alloy to delay the formation of biofilm responsible for the urinary infection. The process should involve qualified personnel who have extensive knowledge in the various medical </w:t>
      </w:r>
      <w:r w:rsidR="00B943D9" w:rsidRPr="00553DAD">
        <w:rPr>
          <w:rFonts w:cs="Times New Roman"/>
          <w:szCs w:val="24"/>
        </w:rPr>
        <w:t>fields</w:t>
      </w:r>
      <w:r w:rsidRPr="00553DAD">
        <w:rPr>
          <w:rFonts w:cs="Times New Roman"/>
          <w:szCs w:val="24"/>
        </w:rPr>
        <w:t xml:space="preserve">. </w:t>
      </w:r>
    </w:p>
    <w:p w:rsidR="008B50D6" w:rsidRPr="00553DAD" w:rsidRDefault="008B50D6" w:rsidP="00553DAD">
      <w:pPr>
        <w:rPr>
          <w:rFonts w:cs="Times New Roman"/>
          <w:szCs w:val="24"/>
        </w:rPr>
      </w:pPr>
      <w:bookmarkStart w:id="5" w:name="_Toc502258651"/>
      <w:r w:rsidRPr="00553DAD">
        <w:rPr>
          <w:rFonts w:cs="Times New Roman"/>
          <w:szCs w:val="24"/>
        </w:rPr>
        <w:t>4.2 Urinary catheter selection</w:t>
      </w:r>
      <w:bookmarkEnd w:id="5"/>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The medical market is franked with various types and sizes of urinary catheters. These varieties range in sizes that are suitable for different patients. Sometimes it the overall influence on the form and is given by the patient. Doctors should recommend the size of catheter to be used by the patient according to his/her experience in the medical service. This research suggests that the small sizes should be used to minimize the trauma caused to the urethra by big sizes. The type of the catheter does not matter when making the selection. It was found that silicone or latex have the same have the same level of infection risks (</w:t>
      </w:r>
      <w:r w:rsidR="00553DAD" w:rsidRPr="00553DAD">
        <w:rPr>
          <w:rFonts w:cs="Times New Roman"/>
          <w:szCs w:val="24"/>
          <w:shd w:val="clear" w:color="auto" w:fill="FFFFFF"/>
        </w:rPr>
        <w:t>Fox Jr,</w:t>
      </w:r>
      <w:r w:rsidR="00553DAD">
        <w:rPr>
          <w:rFonts w:cs="Times New Roman"/>
          <w:szCs w:val="24"/>
          <w:shd w:val="clear" w:color="auto" w:fill="FFFFFF"/>
        </w:rPr>
        <w:t xml:space="preserve"> </w:t>
      </w:r>
      <w:r w:rsidR="00553DAD" w:rsidRPr="00553DAD">
        <w:rPr>
          <w:rFonts w:cs="Times New Roman"/>
          <w:szCs w:val="24"/>
          <w:shd w:val="clear" w:color="auto" w:fill="FFFFFF"/>
        </w:rPr>
        <w:t xml:space="preserve">Modak, &amp;Reemtsma, </w:t>
      </w:r>
      <w:r w:rsidRPr="00553DAD">
        <w:rPr>
          <w:rFonts w:cs="Times New Roman"/>
          <w:szCs w:val="24"/>
        </w:rPr>
        <w:t xml:space="preserve">1986). Patients with chronic catheters can consider selecting whichever material of catheter but be sure to use silver coated catheters to avoid the rate of bacterial formation. The obstruction of the catheter can cause discomfort to the patient in the long-term. This report does not give any evidence of comfort to the users of antimicrobial-coated catheters. The greatest concerned was the prevention measures of the possible infection. Conclusively, the small sizes of catheters were </w:t>
      </w:r>
      <w:r w:rsidRPr="00553DAD">
        <w:rPr>
          <w:rFonts w:cs="Times New Roman"/>
          <w:szCs w:val="24"/>
        </w:rPr>
        <w:lastRenderedPageBreak/>
        <w:t xml:space="preserve">recommended to be used for the sake urethra trauma. The use of closed drainage system will significantly prevent the infections associated with catheters. </w:t>
      </w:r>
    </w:p>
    <w:p w:rsidR="008B50D6" w:rsidRPr="00553DAD" w:rsidRDefault="008B50D6" w:rsidP="00553DAD">
      <w:pPr>
        <w:rPr>
          <w:rFonts w:cs="Times New Roman"/>
          <w:szCs w:val="24"/>
        </w:rPr>
      </w:pPr>
      <w:bookmarkStart w:id="6" w:name="_Toc502258652"/>
      <w:r w:rsidRPr="00553DAD">
        <w:rPr>
          <w:rFonts w:cs="Times New Roman"/>
          <w:szCs w:val="24"/>
        </w:rPr>
        <w:t>4.3 Insertion of catheter and maintenance</w:t>
      </w:r>
      <w:bookmarkEnd w:id="6"/>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Scientific study shows that there are practices that must be adhered to during catheter insertion and the standard support to be followed (McGaghie et al., 2010). It should be said that the process of catheter insertion is a delicate process that requires qualified personnel.  The medical practitioner must make sure the hand hygiene is observed to guarantee clean device is inserted. If the doctor is attending two patients requiring catheter insertion, he must wash hands thoroughly after visiting one patient. It is therefore recommended in this report that the patients be located in different rooms to avoid the incidents of device contamination</w:t>
      </w:r>
      <w:r w:rsidR="00553DAD">
        <w:rPr>
          <w:rFonts w:cs="Times New Roman"/>
          <w:szCs w:val="24"/>
        </w:rPr>
        <w:t xml:space="preserve"> </w:t>
      </w:r>
      <w:r w:rsidR="00553DAD">
        <w:rPr>
          <w:rFonts w:cs="Times New Roman"/>
          <w:szCs w:val="24"/>
          <w:shd w:val="clear" w:color="auto" w:fill="FFFFFF"/>
        </w:rPr>
        <w:t>(</w:t>
      </w:r>
      <w:r w:rsidR="00553DAD" w:rsidRPr="00553DAD">
        <w:rPr>
          <w:rFonts w:cs="Times New Roman"/>
          <w:szCs w:val="24"/>
          <w:shd w:val="clear" w:color="auto" w:fill="FFFFFF"/>
        </w:rPr>
        <w:t>Trautner, Grigoryan, Petersen, Hysong, Cadena, Patterson, &amp;Naik,</w:t>
      </w:r>
      <w:r w:rsidR="00553DAD">
        <w:rPr>
          <w:rFonts w:cs="Times New Roman"/>
          <w:szCs w:val="24"/>
          <w:shd w:val="clear" w:color="auto" w:fill="FFFFFF"/>
        </w:rPr>
        <w:t xml:space="preserve"> 2015)</w:t>
      </w:r>
      <w:r w:rsidRPr="00553DAD">
        <w:rPr>
          <w:rFonts w:cs="Times New Roman"/>
          <w:szCs w:val="24"/>
        </w:rPr>
        <w:t xml:space="preserve">. The process should be carried out slowly and professionally. The choice of the catheter should then be made by the clinical officer depending on the analysis done to the patient on the best size. The equipment to be used must also be selected carefully to avoid using faulty equipment. They should be sterilized with antiseptics to kill any germs that might be available. If the catheter is to be coated the metal for coating should be cleaned with a disinfectant to minimize the risks of contaminated materials. The patient is to be observant to make sure that all equipment is rapped and sterilized before they are used. Appropriate measures must be recommended to secure catheter, and any breakage must be reported immediately to the medical doctor within the shortest time possible. Closed drainage system must be maintained to avoid any opening that acts as the entry route of the bacteria. Patients must perform metal care twice a day using soap and water. Avoid irrigations that are unnecessary. </w:t>
      </w:r>
    </w:p>
    <w:p w:rsidR="008B50D6" w:rsidRPr="00553DAD" w:rsidRDefault="008B50D6" w:rsidP="00553DAD">
      <w:pPr>
        <w:rPr>
          <w:rFonts w:cs="Times New Roman"/>
          <w:szCs w:val="24"/>
        </w:rPr>
      </w:pPr>
      <w:bookmarkStart w:id="7" w:name="_Toc502258653"/>
      <w:r w:rsidRPr="00553DAD">
        <w:rPr>
          <w:rFonts w:cs="Times New Roman"/>
          <w:szCs w:val="24"/>
        </w:rPr>
        <w:lastRenderedPageBreak/>
        <w:t>4.4 Monitoring of infection</w:t>
      </w:r>
      <w:bookmarkEnd w:id="7"/>
    </w:p>
    <w:p w:rsidR="008B50D6" w:rsidRPr="00553DAD" w:rsidRDefault="008B50D6" w:rsidP="00553DAD">
      <w:pPr>
        <w:tabs>
          <w:tab w:val="left" w:pos="4320"/>
          <w:tab w:val="left" w:pos="8280"/>
        </w:tabs>
        <w:ind w:firstLine="720"/>
        <w:rPr>
          <w:rFonts w:cs="Times New Roman"/>
          <w:szCs w:val="24"/>
        </w:rPr>
      </w:pPr>
      <w:r w:rsidRPr="00553DAD">
        <w:rPr>
          <w:rFonts w:cs="Times New Roman"/>
          <w:szCs w:val="24"/>
        </w:rPr>
        <w:t>The issue of getting the collect information about the prevention effectiveness must be the general duty of the medical departments. The intervention measures employed to prevent CAUTI must be documented and part of the problems to deal with. They should be regarded as the benchmarking factors with the aim of getting the most effective measure to deal with the problem. The dates on which the patient has inserted the catheter should be recorded. The date when to remove the device needs to be documented as well. This information must always be available to be seen by the medical team and also need to be provided to the patient</w:t>
      </w:r>
      <w:r w:rsidR="00553DAD" w:rsidRPr="00553DAD">
        <w:rPr>
          <w:rFonts w:cs="Times New Roman"/>
          <w:szCs w:val="24"/>
          <w:shd w:val="clear" w:color="auto" w:fill="FFFFFF"/>
        </w:rPr>
        <w:t xml:space="preserve"> </w:t>
      </w:r>
      <w:r w:rsidR="00553DAD">
        <w:rPr>
          <w:rFonts w:cs="Times New Roman"/>
          <w:szCs w:val="24"/>
          <w:shd w:val="clear" w:color="auto" w:fill="FFFFFF"/>
        </w:rPr>
        <w:t>(</w:t>
      </w:r>
      <w:r w:rsidR="00553DAD" w:rsidRPr="00553DAD">
        <w:rPr>
          <w:rFonts w:cs="Times New Roman"/>
          <w:szCs w:val="24"/>
          <w:shd w:val="clear" w:color="auto" w:fill="FFFFFF"/>
        </w:rPr>
        <w:t xml:space="preserve">McGaghie, </w:t>
      </w:r>
      <w:r w:rsidR="00553DAD">
        <w:rPr>
          <w:rFonts w:cs="Times New Roman"/>
          <w:szCs w:val="24"/>
          <w:shd w:val="clear" w:color="auto" w:fill="FFFFFF"/>
        </w:rPr>
        <w:t>Issenberg</w:t>
      </w:r>
      <w:r w:rsidR="00553DAD" w:rsidRPr="00553DAD">
        <w:rPr>
          <w:rFonts w:cs="Times New Roman"/>
          <w:szCs w:val="24"/>
          <w:shd w:val="clear" w:color="auto" w:fill="FFFFFF"/>
        </w:rPr>
        <w:t xml:space="preserve"> Petrusa, &amp;</w:t>
      </w:r>
      <w:r w:rsidR="00553DAD">
        <w:rPr>
          <w:rFonts w:cs="Times New Roman"/>
          <w:szCs w:val="24"/>
          <w:shd w:val="clear" w:color="auto" w:fill="FFFFFF"/>
        </w:rPr>
        <w:t xml:space="preserve"> </w:t>
      </w:r>
      <w:r w:rsidR="00553DAD" w:rsidRPr="00553DAD">
        <w:rPr>
          <w:rFonts w:cs="Times New Roman"/>
          <w:szCs w:val="24"/>
          <w:shd w:val="clear" w:color="auto" w:fill="FFFFFF"/>
        </w:rPr>
        <w:t>Scalese,</w:t>
      </w:r>
      <w:r w:rsidR="00553DAD">
        <w:rPr>
          <w:rFonts w:cs="Times New Roman"/>
          <w:szCs w:val="24"/>
          <w:shd w:val="clear" w:color="auto" w:fill="FFFFFF"/>
        </w:rPr>
        <w:t xml:space="preserve"> 2010)</w:t>
      </w:r>
      <w:r w:rsidRPr="00553DAD">
        <w:rPr>
          <w:rFonts w:cs="Times New Roman"/>
          <w:szCs w:val="24"/>
        </w:rPr>
        <w:t>. The progress of the medication must be monitored, and the response of the patient be addressed. The standardization of the infection rates should be provided in writing and recommendations are given. However, it is found that bacterial infections in long-term patients are difficult to avoid. Patients with chronic indwelling catheters can use leg bags to drain the urine for easy mobility. These are the main prevention measures that according to this report are most effective the patient with an indwelling urinary catheter.</w:t>
      </w:r>
    </w:p>
    <w:p w:rsidR="008B50D6" w:rsidRPr="00553DAD" w:rsidRDefault="008B50D6" w:rsidP="00553DAD">
      <w:pPr>
        <w:rPr>
          <w:rFonts w:cs="Times New Roman"/>
          <w:szCs w:val="24"/>
        </w:rPr>
      </w:pPr>
      <w:bookmarkStart w:id="8" w:name="_Toc502258654"/>
      <w:r w:rsidRPr="00553DAD">
        <w:rPr>
          <w:rFonts w:cs="Times New Roman"/>
          <w:szCs w:val="24"/>
        </w:rPr>
        <w:t>5.0 Conclusions</w:t>
      </w:r>
      <w:bookmarkEnd w:id="8"/>
    </w:p>
    <w:p w:rsidR="00884351" w:rsidRPr="00553DAD" w:rsidRDefault="008B50D6" w:rsidP="00553DAD">
      <w:pPr>
        <w:tabs>
          <w:tab w:val="left" w:pos="4320"/>
          <w:tab w:val="left" w:pos="8280"/>
        </w:tabs>
        <w:ind w:firstLine="720"/>
        <w:rPr>
          <w:rFonts w:cs="Times New Roman"/>
          <w:szCs w:val="24"/>
        </w:rPr>
      </w:pPr>
      <w:r w:rsidRPr="00553DAD">
        <w:rPr>
          <w:rFonts w:cs="Times New Roman"/>
          <w:szCs w:val="24"/>
        </w:rPr>
        <w:t>CAUTI is reported to be the serious problem to millions of people worldwide who have indwelling urinary catheters. The use of urinary catheters has brought increasing cases of complications to the patients. The healthcare givers are busy to determine one lasting solution to the problem. Since the devices lead to infections, prevention measures must be seriously implemented and monitored. Infection control programs must come up with policies to deal with the development of these infections in all health facilities worldwide</w:t>
      </w:r>
      <w:r w:rsidR="00553DAD" w:rsidRPr="00553DAD">
        <w:rPr>
          <w:rFonts w:cs="Times New Roman"/>
          <w:szCs w:val="24"/>
          <w:shd w:val="clear" w:color="auto" w:fill="FFFFFF"/>
        </w:rPr>
        <w:t xml:space="preserve"> </w:t>
      </w:r>
      <w:r w:rsidR="00553DAD">
        <w:rPr>
          <w:rFonts w:cs="Times New Roman"/>
          <w:szCs w:val="24"/>
          <w:shd w:val="clear" w:color="auto" w:fill="FFFFFF"/>
        </w:rPr>
        <w:t>(</w:t>
      </w:r>
      <w:r w:rsidR="00553DAD" w:rsidRPr="00553DAD">
        <w:rPr>
          <w:rFonts w:cs="Times New Roman"/>
          <w:szCs w:val="24"/>
          <w:shd w:val="clear" w:color="auto" w:fill="FFFFFF"/>
        </w:rPr>
        <w:t>Trautner, Grigoryan, Petersen, Hysong, Cadena, Patterson,., &amp;Naik,</w:t>
      </w:r>
      <w:r w:rsidR="00553DAD">
        <w:rPr>
          <w:rFonts w:cs="Times New Roman"/>
          <w:szCs w:val="24"/>
          <w:shd w:val="clear" w:color="auto" w:fill="FFFFFF"/>
        </w:rPr>
        <w:t xml:space="preserve"> 2015)</w:t>
      </w:r>
      <w:r w:rsidRPr="00553DAD">
        <w:rPr>
          <w:rFonts w:cs="Times New Roman"/>
          <w:szCs w:val="24"/>
        </w:rPr>
        <w:t xml:space="preserve">. These procedures must be implemented to </w:t>
      </w:r>
      <w:r w:rsidRPr="00553DAD">
        <w:rPr>
          <w:rFonts w:cs="Times New Roman"/>
          <w:szCs w:val="24"/>
        </w:rPr>
        <w:lastRenderedPageBreak/>
        <w:t>minimize infections due to an indwelling catheter. However, the necessary prevention measures in place must be applied for universal benefits. The catheter must be inserted when required and removed when it is no longer needed. The use of closed drainage system will significantly prevent the infections associated with catheters than any other method. Strict attention needs to be observed when dealing with the catheters. All of the mentioned measures require minimal practical experience, and it is found that they can be implemented within a short period.</w:t>
      </w:r>
    </w:p>
    <w:p w:rsidR="0067256A" w:rsidRPr="00553DAD" w:rsidRDefault="0067256A" w:rsidP="00553DAD">
      <w:pPr>
        <w:ind w:firstLine="720"/>
        <w:rPr>
          <w:rFonts w:cs="Times New Roman"/>
          <w:szCs w:val="24"/>
        </w:rPr>
      </w:pPr>
    </w:p>
    <w:p w:rsidR="00387C74" w:rsidRPr="00553DAD" w:rsidRDefault="00387C74" w:rsidP="00553DAD">
      <w:pPr>
        <w:ind w:firstLine="720"/>
        <w:rPr>
          <w:rFonts w:cs="Times New Roman"/>
          <w:szCs w:val="24"/>
        </w:rPr>
      </w:pPr>
      <w:r w:rsidRPr="00553DAD">
        <w:rPr>
          <w:rFonts w:cs="Times New Roman"/>
          <w:szCs w:val="24"/>
        </w:rPr>
        <w:br w:type="page"/>
      </w:r>
    </w:p>
    <w:p w:rsidR="0067256A" w:rsidRPr="00553DAD" w:rsidRDefault="008B50D6" w:rsidP="00553DAD">
      <w:pPr>
        <w:pStyle w:val="Heading1"/>
        <w:spacing w:line="480" w:lineRule="auto"/>
        <w:ind w:firstLine="720"/>
        <w:jc w:val="center"/>
        <w:rPr>
          <w:rFonts w:cs="Times New Roman"/>
          <w:b w:val="0"/>
          <w:szCs w:val="24"/>
        </w:rPr>
      </w:pPr>
      <w:bookmarkStart w:id="9" w:name="_Toc502258655"/>
      <w:r w:rsidRPr="00553DAD">
        <w:rPr>
          <w:rFonts w:cs="Times New Roman"/>
          <w:b w:val="0"/>
          <w:szCs w:val="24"/>
        </w:rPr>
        <w:lastRenderedPageBreak/>
        <w:t xml:space="preserve">6.0 </w:t>
      </w:r>
      <w:r w:rsidR="00F17B60" w:rsidRPr="00553DAD">
        <w:rPr>
          <w:rFonts w:cs="Times New Roman"/>
          <w:b w:val="0"/>
          <w:szCs w:val="24"/>
        </w:rPr>
        <w:t>R</w:t>
      </w:r>
      <w:r w:rsidR="00F17B60" w:rsidRPr="00553DAD">
        <w:rPr>
          <w:rFonts w:cs="Times New Roman"/>
          <w:b w:val="0"/>
          <w:color w:val="auto"/>
          <w:szCs w:val="24"/>
        </w:rPr>
        <w:t>eference</w:t>
      </w:r>
      <w:bookmarkEnd w:id="9"/>
    </w:p>
    <w:p w:rsidR="008B50D6" w:rsidRPr="00553DAD" w:rsidRDefault="008B50D6" w:rsidP="00553DAD">
      <w:pPr>
        <w:pStyle w:val="NoSpacing"/>
        <w:spacing w:line="480" w:lineRule="auto"/>
        <w:ind w:left="720" w:hanging="720"/>
        <w:rPr>
          <w:rFonts w:cs="Times New Roman"/>
          <w:szCs w:val="24"/>
          <w:shd w:val="clear" w:color="auto" w:fill="FFFFFF"/>
        </w:rPr>
      </w:pPr>
      <w:r w:rsidRPr="00553DAD">
        <w:rPr>
          <w:rFonts w:cs="Times New Roman"/>
          <w:szCs w:val="24"/>
          <w:shd w:val="clear" w:color="auto" w:fill="FFFFFF"/>
        </w:rPr>
        <w:t>Christopher, T. G. (1986). </w:t>
      </w:r>
      <w:r w:rsidRPr="00553DAD">
        <w:rPr>
          <w:rFonts w:cs="Times New Roman"/>
          <w:i/>
          <w:iCs/>
          <w:szCs w:val="24"/>
          <w:shd w:val="clear" w:color="auto" w:fill="FFFFFF"/>
        </w:rPr>
        <w:t>U.S. Patent No. 4,571,241</w:t>
      </w:r>
      <w:r w:rsidRPr="00553DAD">
        <w:rPr>
          <w:rFonts w:cs="Times New Roman"/>
          <w:szCs w:val="24"/>
          <w:shd w:val="clear" w:color="auto" w:fill="FFFFFF"/>
        </w:rPr>
        <w:t>. Washington, DC: U.S. Patent and Trademark Office.</w:t>
      </w:r>
    </w:p>
    <w:p w:rsidR="008B50D6" w:rsidRPr="00553DAD" w:rsidRDefault="008B50D6" w:rsidP="00553DAD">
      <w:pPr>
        <w:pStyle w:val="NoSpacing"/>
        <w:spacing w:line="480" w:lineRule="auto"/>
        <w:ind w:left="720" w:hanging="720"/>
        <w:rPr>
          <w:rFonts w:cs="Times New Roman"/>
          <w:szCs w:val="24"/>
          <w:shd w:val="clear" w:color="auto" w:fill="FFFFFF"/>
        </w:rPr>
      </w:pPr>
      <w:r w:rsidRPr="00553DAD">
        <w:rPr>
          <w:rFonts w:cs="Times New Roman"/>
          <w:szCs w:val="24"/>
          <w:shd w:val="clear" w:color="auto" w:fill="FFFFFF"/>
        </w:rPr>
        <w:t>Fox Jr, C. L., Modak, S., &amp;Reemtsma, K. (1986). </w:t>
      </w:r>
      <w:r w:rsidRPr="00553DAD">
        <w:rPr>
          <w:rFonts w:cs="Times New Roman"/>
          <w:i/>
          <w:iCs/>
          <w:szCs w:val="24"/>
          <w:shd w:val="clear" w:color="auto" w:fill="FFFFFF"/>
        </w:rPr>
        <w:t>U.S. Patent No. 4,581,028</w:t>
      </w:r>
      <w:r w:rsidRPr="00553DAD">
        <w:rPr>
          <w:rFonts w:cs="Times New Roman"/>
          <w:szCs w:val="24"/>
          <w:shd w:val="clear" w:color="auto" w:fill="FFFFFF"/>
        </w:rPr>
        <w:t>. Washington, DC: U.S. Patent and Trademark Office.</w:t>
      </w:r>
    </w:p>
    <w:p w:rsidR="00553DAD" w:rsidRDefault="008B50D6" w:rsidP="00553DAD">
      <w:pPr>
        <w:pStyle w:val="NoSpacing"/>
        <w:spacing w:line="480" w:lineRule="auto"/>
        <w:ind w:left="720" w:hanging="720"/>
        <w:rPr>
          <w:rFonts w:cs="Times New Roman"/>
          <w:b/>
          <w:szCs w:val="24"/>
        </w:rPr>
      </w:pPr>
      <w:r w:rsidRPr="00553DAD">
        <w:rPr>
          <w:rFonts w:cs="Times New Roman"/>
          <w:szCs w:val="24"/>
          <w:shd w:val="clear" w:color="auto" w:fill="FFFFFF"/>
        </w:rPr>
        <w:t>McGaghie, W. C., Issen</w:t>
      </w:r>
      <w:bookmarkStart w:id="10" w:name="_GoBack"/>
      <w:bookmarkEnd w:id="10"/>
      <w:r w:rsidRPr="00553DAD">
        <w:rPr>
          <w:rFonts w:cs="Times New Roman"/>
          <w:szCs w:val="24"/>
          <w:shd w:val="clear" w:color="auto" w:fill="FFFFFF"/>
        </w:rPr>
        <w:t>berg, S. B., Petrusa, E. R., &amp;Scalese, R. J. (2010). A critical review of simulation‐based medical education research: 2003–2009. </w:t>
      </w:r>
      <w:r w:rsidRPr="00553DAD">
        <w:rPr>
          <w:rFonts w:cs="Times New Roman"/>
          <w:i/>
          <w:iCs/>
          <w:szCs w:val="24"/>
          <w:shd w:val="clear" w:color="auto" w:fill="FFFFFF"/>
        </w:rPr>
        <w:t>Medical education</w:t>
      </w:r>
      <w:r w:rsidRPr="00553DAD">
        <w:rPr>
          <w:rFonts w:cs="Times New Roman"/>
          <w:szCs w:val="24"/>
          <w:shd w:val="clear" w:color="auto" w:fill="FFFFFF"/>
        </w:rPr>
        <w:t>, </w:t>
      </w:r>
      <w:r w:rsidRPr="00553DAD">
        <w:rPr>
          <w:rFonts w:cs="Times New Roman"/>
          <w:i/>
          <w:iCs/>
          <w:szCs w:val="24"/>
          <w:shd w:val="clear" w:color="auto" w:fill="FFFFFF"/>
        </w:rPr>
        <w:t>44</w:t>
      </w:r>
      <w:r w:rsidRPr="00553DAD">
        <w:rPr>
          <w:rFonts w:cs="Times New Roman"/>
          <w:szCs w:val="24"/>
          <w:shd w:val="clear" w:color="auto" w:fill="FFFFFF"/>
        </w:rPr>
        <w:t>(1), 50-63.</w:t>
      </w:r>
    </w:p>
    <w:p w:rsidR="008B50D6" w:rsidRPr="00553DAD" w:rsidRDefault="008B50D6" w:rsidP="00553DAD">
      <w:pPr>
        <w:pStyle w:val="NoSpacing"/>
        <w:spacing w:line="480" w:lineRule="auto"/>
        <w:ind w:left="720" w:hanging="720"/>
        <w:rPr>
          <w:rFonts w:cs="Times New Roman"/>
          <w:b/>
          <w:szCs w:val="24"/>
        </w:rPr>
      </w:pPr>
      <w:r w:rsidRPr="00553DAD">
        <w:rPr>
          <w:rFonts w:cs="Times New Roman"/>
          <w:szCs w:val="24"/>
          <w:shd w:val="clear" w:color="auto" w:fill="FFFFFF"/>
        </w:rPr>
        <w:t>Trautner, B. W., Grigoryan, L., Petersen, N. J., Hysong, S., Cadena, J., Patterson, J. E., &amp;Naik, A. D. (2015). Effectiveness of an antimicrobial stewardship approach for urinary catheter–associated asymptomatic bacteriuria. </w:t>
      </w:r>
      <w:r w:rsidRPr="00553DAD">
        <w:rPr>
          <w:rFonts w:cs="Times New Roman"/>
          <w:i/>
          <w:iCs/>
          <w:szCs w:val="24"/>
          <w:shd w:val="clear" w:color="auto" w:fill="FFFFFF"/>
        </w:rPr>
        <w:t>JAMA internal medicine</w:t>
      </w:r>
      <w:r w:rsidRPr="00553DAD">
        <w:rPr>
          <w:rFonts w:cs="Times New Roman"/>
          <w:szCs w:val="24"/>
          <w:shd w:val="clear" w:color="auto" w:fill="FFFFFF"/>
        </w:rPr>
        <w:t>, </w:t>
      </w:r>
      <w:r w:rsidRPr="00553DAD">
        <w:rPr>
          <w:rFonts w:cs="Times New Roman"/>
          <w:i/>
          <w:iCs/>
          <w:szCs w:val="24"/>
          <w:shd w:val="clear" w:color="auto" w:fill="FFFFFF"/>
        </w:rPr>
        <w:t>175</w:t>
      </w:r>
      <w:r w:rsidRPr="00553DAD">
        <w:rPr>
          <w:rFonts w:cs="Times New Roman"/>
          <w:szCs w:val="24"/>
          <w:shd w:val="clear" w:color="auto" w:fill="FFFFFF"/>
        </w:rPr>
        <w:t>(7), 1120-1127.</w:t>
      </w:r>
    </w:p>
    <w:sectPr w:rsidR="008B50D6" w:rsidRPr="00553DAD" w:rsidSect="00F17B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177E" w:rsidRDefault="009C177E" w:rsidP="0067256A">
      <w:pPr>
        <w:spacing w:after="0" w:line="240" w:lineRule="auto"/>
      </w:pPr>
      <w:r>
        <w:separator/>
      </w:r>
    </w:p>
  </w:endnote>
  <w:endnote w:type="continuationSeparator" w:id="1">
    <w:p w:rsidR="009C177E" w:rsidRDefault="009C177E" w:rsidP="006725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177E" w:rsidRDefault="009C177E" w:rsidP="0067256A">
      <w:pPr>
        <w:spacing w:after="0" w:line="240" w:lineRule="auto"/>
      </w:pPr>
      <w:r>
        <w:separator/>
      </w:r>
    </w:p>
  </w:footnote>
  <w:footnote w:type="continuationSeparator" w:id="1">
    <w:p w:rsidR="009C177E" w:rsidRDefault="009C177E" w:rsidP="006725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2154506"/>
      <w:docPartObj>
        <w:docPartGallery w:val="Page Numbers (Top of Page)"/>
        <w:docPartUnique/>
      </w:docPartObj>
    </w:sdtPr>
    <w:sdtEndPr>
      <w:rPr>
        <w:noProof/>
      </w:rPr>
    </w:sdtEndPr>
    <w:sdtContent>
      <w:p w:rsidR="00F17B60" w:rsidRDefault="00F17B60">
        <w:pPr>
          <w:pStyle w:val="Header"/>
        </w:pPr>
        <w:r>
          <w:t>RESEARCH PROPOSAL</w:t>
        </w:r>
        <w:r>
          <w:tab/>
        </w:r>
        <w:r>
          <w:tab/>
        </w:r>
        <w:r w:rsidR="00C13856">
          <w:fldChar w:fldCharType="begin"/>
        </w:r>
        <w:r>
          <w:instrText xml:space="preserve"> PAGE   \* MERGEFORMAT </w:instrText>
        </w:r>
        <w:r w:rsidR="00C13856">
          <w:fldChar w:fldCharType="separate"/>
        </w:r>
        <w:r w:rsidR="001D6FA1">
          <w:rPr>
            <w:noProof/>
          </w:rPr>
          <w:t>4</w:t>
        </w:r>
        <w:r w:rsidR="00C1385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B60" w:rsidRDefault="00F17B60" w:rsidP="00F17B60">
    <w:pPr>
      <w:pStyle w:val="Header"/>
      <w:jc w:val="right"/>
    </w:pPr>
    <w:r>
      <w:t xml:space="preserve">Running head: RESEARCH PROPOSAL </w:t>
    </w:r>
    <w:r>
      <w:tab/>
    </w:r>
    <w:r>
      <w:tab/>
    </w:r>
    <w:sdt>
      <w:sdtPr>
        <w:id w:val="-73820707"/>
        <w:docPartObj>
          <w:docPartGallery w:val="Page Numbers (Top of Page)"/>
          <w:docPartUnique/>
        </w:docPartObj>
      </w:sdtPr>
      <w:sdtEndPr>
        <w:rPr>
          <w:noProof/>
        </w:rPr>
      </w:sdtEndPr>
      <w:sdtContent>
        <w:r w:rsidR="00C13856">
          <w:fldChar w:fldCharType="begin"/>
        </w:r>
        <w:r>
          <w:instrText xml:space="preserve"> PAGE   \* MERGEFORMAT </w:instrText>
        </w:r>
        <w:r w:rsidR="00C13856">
          <w:fldChar w:fldCharType="separate"/>
        </w:r>
        <w:r w:rsidR="001D6FA1">
          <w:rPr>
            <w:noProof/>
          </w:rPr>
          <w:t>1</w:t>
        </w:r>
        <w:r w:rsidR="00C13856">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67256A"/>
    <w:rsid w:val="00046E55"/>
    <w:rsid w:val="00072975"/>
    <w:rsid w:val="000F39D2"/>
    <w:rsid w:val="000F465A"/>
    <w:rsid w:val="00145450"/>
    <w:rsid w:val="001509F1"/>
    <w:rsid w:val="00161276"/>
    <w:rsid w:val="001D0B93"/>
    <w:rsid w:val="001D676F"/>
    <w:rsid w:val="001D6FA1"/>
    <w:rsid w:val="002243AC"/>
    <w:rsid w:val="00241B85"/>
    <w:rsid w:val="00242E18"/>
    <w:rsid w:val="002645E4"/>
    <w:rsid w:val="002729C7"/>
    <w:rsid w:val="002B154D"/>
    <w:rsid w:val="003177A9"/>
    <w:rsid w:val="0032786F"/>
    <w:rsid w:val="00387C74"/>
    <w:rsid w:val="0044175D"/>
    <w:rsid w:val="004E7C3F"/>
    <w:rsid w:val="00553DAD"/>
    <w:rsid w:val="00576F3B"/>
    <w:rsid w:val="005A6C78"/>
    <w:rsid w:val="005B2406"/>
    <w:rsid w:val="005B49F5"/>
    <w:rsid w:val="005D0F1F"/>
    <w:rsid w:val="005D7DA8"/>
    <w:rsid w:val="00665CE7"/>
    <w:rsid w:val="0067256A"/>
    <w:rsid w:val="00691B7D"/>
    <w:rsid w:val="006C5699"/>
    <w:rsid w:val="00753159"/>
    <w:rsid w:val="00767F74"/>
    <w:rsid w:val="007C6307"/>
    <w:rsid w:val="00835B45"/>
    <w:rsid w:val="00865E36"/>
    <w:rsid w:val="00884351"/>
    <w:rsid w:val="008B50D6"/>
    <w:rsid w:val="008E1EC2"/>
    <w:rsid w:val="00922BA7"/>
    <w:rsid w:val="009C177E"/>
    <w:rsid w:val="00A24A67"/>
    <w:rsid w:val="00A539D8"/>
    <w:rsid w:val="00A630E0"/>
    <w:rsid w:val="00AC5B68"/>
    <w:rsid w:val="00AD7F9F"/>
    <w:rsid w:val="00AF47CE"/>
    <w:rsid w:val="00B05054"/>
    <w:rsid w:val="00B9295B"/>
    <w:rsid w:val="00B943D9"/>
    <w:rsid w:val="00B971C5"/>
    <w:rsid w:val="00BA203D"/>
    <w:rsid w:val="00BD02A6"/>
    <w:rsid w:val="00BE4CFF"/>
    <w:rsid w:val="00C13856"/>
    <w:rsid w:val="00CD6184"/>
    <w:rsid w:val="00CE3675"/>
    <w:rsid w:val="00CE6029"/>
    <w:rsid w:val="00EA679A"/>
    <w:rsid w:val="00EC3D35"/>
    <w:rsid w:val="00EC4C74"/>
    <w:rsid w:val="00F17B60"/>
    <w:rsid w:val="00FF48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054"/>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EC4C74"/>
    <w:pPr>
      <w:keepNext/>
      <w:keepLines/>
      <w:spacing w:before="720" w:after="240" w:line="24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1D0B93"/>
    <w:pPr>
      <w:keepNext/>
      <w:keepLines/>
      <w:spacing w:before="200" w:after="0"/>
      <w:outlineLvl w:val="1"/>
    </w:pPr>
    <w:rPr>
      <w:rFonts w:eastAsiaTheme="majorEastAsia" w:cstheme="majorBidi"/>
      <w:b/>
      <w:bCs/>
      <w:color w:val="4F81BD" w:themeColor="accent1"/>
      <w:szCs w:val="26"/>
    </w:rPr>
  </w:style>
  <w:style w:type="paragraph" w:styleId="Heading3">
    <w:name w:val="heading 3"/>
    <w:basedOn w:val="Normal"/>
    <w:next w:val="Normal"/>
    <w:link w:val="Heading3Char"/>
    <w:uiPriority w:val="9"/>
    <w:unhideWhenUsed/>
    <w:qFormat/>
    <w:rsid w:val="001D0B93"/>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C74"/>
    <w:rPr>
      <w:rFonts w:ascii="Times New Roman" w:eastAsiaTheme="majorEastAsia" w:hAnsi="Times New Roman" w:cstheme="majorBidi"/>
      <w:b/>
      <w:bCs/>
      <w:color w:val="000000" w:themeColor="text1"/>
      <w:sz w:val="24"/>
      <w:szCs w:val="28"/>
    </w:rPr>
  </w:style>
  <w:style w:type="character" w:customStyle="1" w:styleId="Heading2Char">
    <w:name w:val="Heading 2 Char"/>
    <w:basedOn w:val="DefaultParagraphFont"/>
    <w:link w:val="Heading2"/>
    <w:uiPriority w:val="9"/>
    <w:rsid w:val="001D0B93"/>
    <w:rPr>
      <w:rFonts w:ascii="Times New Roman" w:eastAsiaTheme="majorEastAsia" w:hAnsi="Times New Roman" w:cstheme="majorBidi"/>
      <w:b/>
      <w:bCs/>
      <w:color w:val="4F81BD" w:themeColor="accent1"/>
      <w:sz w:val="24"/>
      <w:szCs w:val="26"/>
    </w:rPr>
  </w:style>
  <w:style w:type="character" w:customStyle="1" w:styleId="Heading3Char">
    <w:name w:val="Heading 3 Char"/>
    <w:basedOn w:val="DefaultParagraphFont"/>
    <w:link w:val="Heading3"/>
    <w:uiPriority w:val="9"/>
    <w:rsid w:val="001D0B93"/>
    <w:rPr>
      <w:rFonts w:asciiTheme="majorHAnsi" w:eastAsiaTheme="majorEastAsia" w:hAnsiTheme="majorHAnsi" w:cstheme="majorBidi"/>
      <w:b/>
      <w:bCs/>
      <w:color w:val="4F81BD" w:themeColor="accent1"/>
      <w:sz w:val="24"/>
    </w:rPr>
  </w:style>
  <w:style w:type="paragraph" w:styleId="Header">
    <w:name w:val="header"/>
    <w:basedOn w:val="Normal"/>
    <w:link w:val="HeaderChar"/>
    <w:uiPriority w:val="99"/>
    <w:unhideWhenUsed/>
    <w:rsid w:val="00672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56A"/>
    <w:rPr>
      <w:rFonts w:ascii="Times New Roman" w:hAnsi="Times New Roman"/>
      <w:sz w:val="24"/>
    </w:rPr>
  </w:style>
  <w:style w:type="paragraph" w:styleId="Footer">
    <w:name w:val="footer"/>
    <w:basedOn w:val="Normal"/>
    <w:link w:val="FooterChar"/>
    <w:uiPriority w:val="99"/>
    <w:unhideWhenUsed/>
    <w:rsid w:val="00672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56A"/>
    <w:rPr>
      <w:rFonts w:ascii="Times New Roman" w:hAnsi="Times New Roman"/>
      <w:sz w:val="24"/>
    </w:rPr>
  </w:style>
  <w:style w:type="paragraph" w:styleId="TOCHeading">
    <w:name w:val="TOC Heading"/>
    <w:basedOn w:val="Heading1"/>
    <w:next w:val="Normal"/>
    <w:uiPriority w:val="39"/>
    <w:semiHidden/>
    <w:unhideWhenUsed/>
    <w:qFormat/>
    <w:rsid w:val="008B50D6"/>
    <w:pPr>
      <w:spacing w:before="480" w:after="0" w:line="276" w:lineRule="auto"/>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8B50D6"/>
    <w:pPr>
      <w:spacing w:after="100"/>
    </w:pPr>
  </w:style>
  <w:style w:type="paragraph" w:styleId="TOC2">
    <w:name w:val="toc 2"/>
    <w:basedOn w:val="Normal"/>
    <w:next w:val="Normal"/>
    <w:autoRedefine/>
    <w:uiPriority w:val="39"/>
    <w:unhideWhenUsed/>
    <w:rsid w:val="008B50D6"/>
    <w:pPr>
      <w:spacing w:after="100"/>
      <w:ind w:left="240"/>
    </w:pPr>
  </w:style>
  <w:style w:type="character" w:styleId="Hyperlink">
    <w:name w:val="Hyperlink"/>
    <w:basedOn w:val="DefaultParagraphFont"/>
    <w:uiPriority w:val="99"/>
    <w:unhideWhenUsed/>
    <w:rsid w:val="008B50D6"/>
    <w:rPr>
      <w:color w:val="0000FF" w:themeColor="hyperlink"/>
      <w:u w:val="single"/>
    </w:rPr>
  </w:style>
  <w:style w:type="paragraph" w:styleId="BalloonText">
    <w:name w:val="Balloon Text"/>
    <w:basedOn w:val="Normal"/>
    <w:link w:val="BalloonTextChar"/>
    <w:uiPriority w:val="99"/>
    <w:semiHidden/>
    <w:unhideWhenUsed/>
    <w:rsid w:val="008B50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50D6"/>
    <w:rPr>
      <w:rFonts w:ascii="Tahoma" w:hAnsi="Tahoma" w:cs="Tahoma"/>
      <w:sz w:val="16"/>
      <w:szCs w:val="16"/>
    </w:rPr>
  </w:style>
  <w:style w:type="paragraph" w:styleId="NoSpacing">
    <w:name w:val="No Spacing"/>
    <w:uiPriority w:val="1"/>
    <w:qFormat/>
    <w:rsid w:val="00F17B60"/>
    <w:pPr>
      <w:spacing w:after="0" w:line="240" w:lineRule="auto"/>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869C1-6831-467E-A0E3-DD03EB6A9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2372</Words>
  <Characters>13526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Muthomi</dc:creator>
  <cp:lastModifiedBy>user</cp:lastModifiedBy>
  <cp:revision>2</cp:revision>
  <dcterms:created xsi:type="dcterms:W3CDTF">2017-12-31T05:35:00Z</dcterms:created>
  <dcterms:modified xsi:type="dcterms:W3CDTF">2017-12-31T05:35:00Z</dcterms:modified>
</cp:coreProperties>
</file>