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691" w:rsidRPr="001530E1" w:rsidRDefault="00D81691" w:rsidP="00D81691">
      <w:pPr>
        <w:spacing w:line="480" w:lineRule="auto"/>
        <w:jc w:val="center"/>
        <w:rPr>
          <w:rFonts w:ascii="Times New Roman" w:hAnsi="Times New Roman" w:cs="Times New Roman"/>
          <w:color w:val="505151"/>
          <w:sz w:val="24"/>
          <w:szCs w:val="24"/>
          <w:shd w:val="clear" w:color="auto" w:fill="FFFFFF"/>
        </w:rPr>
      </w:pPr>
    </w:p>
    <w:p w:rsidR="00D81691" w:rsidRPr="001530E1" w:rsidRDefault="00D81691" w:rsidP="00D81691">
      <w:pPr>
        <w:spacing w:line="480" w:lineRule="auto"/>
        <w:jc w:val="center"/>
        <w:rPr>
          <w:rFonts w:ascii="Times New Roman" w:hAnsi="Times New Roman" w:cs="Times New Roman"/>
          <w:color w:val="505151"/>
          <w:sz w:val="24"/>
          <w:szCs w:val="24"/>
          <w:shd w:val="clear" w:color="auto" w:fill="FFFFFF"/>
        </w:rPr>
      </w:pPr>
    </w:p>
    <w:p w:rsidR="00D81691" w:rsidRPr="001530E1" w:rsidRDefault="00D81691" w:rsidP="00D81691">
      <w:pPr>
        <w:spacing w:line="480" w:lineRule="auto"/>
        <w:jc w:val="center"/>
        <w:rPr>
          <w:rFonts w:ascii="Times New Roman" w:hAnsi="Times New Roman" w:cs="Times New Roman"/>
          <w:color w:val="505151"/>
          <w:sz w:val="24"/>
          <w:szCs w:val="24"/>
          <w:shd w:val="clear" w:color="auto" w:fill="FFFFFF"/>
        </w:rPr>
      </w:pPr>
    </w:p>
    <w:p w:rsidR="00D81691" w:rsidRPr="001530E1" w:rsidRDefault="00D81691" w:rsidP="00D81691">
      <w:pPr>
        <w:spacing w:line="480" w:lineRule="auto"/>
        <w:jc w:val="center"/>
        <w:rPr>
          <w:rFonts w:ascii="Times New Roman" w:hAnsi="Times New Roman" w:cs="Times New Roman"/>
          <w:color w:val="505151"/>
          <w:sz w:val="24"/>
          <w:szCs w:val="24"/>
          <w:shd w:val="clear" w:color="auto" w:fill="FFFFFF"/>
        </w:rPr>
      </w:pPr>
    </w:p>
    <w:p w:rsidR="00D81691" w:rsidRPr="001530E1" w:rsidRDefault="00D81691" w:rsidP="00D81691">
      <w:pPr>
        <w:spacing w:line="480" w:lineRule="auto"/>
        <w:jc w:val="center"/>
        <w:rPr>
          <w:rFonts w:ascii="Times New Roman" w:hAnsi="Times New Roman" w:cs="Times New Roman"/>
          <w:color w:val="505151"/>
          <w:sz w:val="24"/>
          <w:szCs w:val="24"/>
          <w:shd w:val="clear" w:color="auto" w:fill="FFFFFF"/>
        </w:rPr>
      </w:pPr>
    </w:p>
    <w:p w:rsidR="00D81691" w:rsidRPr="001530E1" w:rsidRDefault="00D81691" w:rsidP="00D81691">
      <w:pPr>
        <w:spacing w:line="480" w:lineRule="auto"/>
        <w:jc w:val="center"/>
        <w:rPr>
          <w:rFonts w:ascii="Times New Roman" w:hAnsi="Times New Roman" w:cs="Times New Roman"/>
          <w:color w:val="505151"/>
          <w:sz w:val="24"/>
          <w:szCs w:val="24"/>
          <w:shd w:val="clear" w:color="auto" w:fill="FFFFFF"/>
        </w:rPr>
      </w:pPr>
    </w:p>
    <w:p w:rsidR="00D81691" w:rsidRPr="001530E1" w:rsidRDefault="00D81691" w:rsidP="00D81691">
      <w:pPr>
        <w:spacing w:line="480" w:lineRule="auto"/>
        <w:jc w:val="center"/>
        <w:rPr>
          <w:rFonts w:ascii="Times New Roman" w:hAnsi="Times New Roman" w:cs="Times New Roman"/>
          <w:color w:val="505151"/>
          <w:sz w:val="24"/>
          <w:szCs w:val="24"/>
          <w:shd w:val="clear" w:color="auto" w:fill="FFFFFF"/>
        </w:rPr>
      </w:pPr>
      <w:r w:rsidRPr="001530E1">
        <w:rPr>
          <w:rFonts w:ascii="Times New Roman" w:hAnsi="Times New Roman" w:cs="Times New Roman"/>
          <w:color w:val="505151"/>
          <w:sz w:val="24"/>
          <w:szCs w:val="24"/>
          <w:shd w:val="clear" w:color="auto" w:fill="FFFFFF"/>
        </w:rPr>
        <w:t>Vitiligo</w:t>
      </w:r>
    </w:p>
    <w:p w:rsidR="00D81691" w:rsidRPr="001530E1" w:rsidRDefault="00D81691" w:rsidP="00D81691">
      <w:pPr>
        <w:spacing w:line="480" w:lineRule="auto"/>
        <w:jc w:val="center"/>
        <w:rPr>
          <w:rFonts w:ascii="Times New Roman" w:hAnsi="Times New Roman" w:cs="Times New Roman"/>
          <w:color w:val="505151"/>
          <w:sz w:val="24"/>
          <w:szCs w:val="24"/>
          <w:shd w:val="clear" w:color="auto" w:fill="FFFFFF"/>
        </w:rPr>
      </w:pPr>
      <w:r w:rsidRPr="001530E1">
        <w:rPr>
          <w:rFonts w:ascii="Times New Roman" w:hAnsi="Times New Roman" w:cs="Times New Roman"/>
          <w:color w:val="505151"/>
          <w:sz w:val="24"/>
          <w:szCs w:val="24"/>
          <w:shd w:val="clear" w:color="auto" w:fill="FFFFFF"/>
        </w:rPr>
        <w:t>Student’s Name</w:t>
      </w:r>
    </w:p>
    <w:p w:rsidR="00D81691" w:rsidRPr="001530E1" w:rsidRDefault="00D81691" w:rsidP="00D81691">
      <w:pPr>
        <w:spacing w:line="480" w:lineRule="auto"/>
        <w:jc w:val="center"/>
        <w:rPr>
          <w:rFonts w:ascii="Times New Roman" w:hAnsi="Times New Roman" w:cs="Times New Roman"/>
          <w:b/>
          <w:color w:val="505151"/>
          <w:sz w:val="24"/>
          <w:szCs w:val="24"/>
          <w:shd w:val="clear" w:color="auto" w:fill="FFFFFF"/>
        </w:rPr>
      </w:pPr>
      <w:r w:rsidRPr="001530E1">
        <w:rPr>
          <w:rFonts w:ascii="Times New Roman" w:hAnsi="Times New Roman" w:cs="Times New Roman"/>
          <w:color w:val="505151"/>
          <w:sz w:val="24"/>
          <w:szCs w:val="24"/>
          <w:shd w:val="clear" w:color="auto" w:fill="FFFFFF"/>
        </w:rPr>
        <w:t>Institution of Affiliation</w:t>
      </w:r>
      <w:r w:rsidRPr="001530E1">
        <w:rPr>
          <w:rFonts w:ascii="Times New Roman" w:hAnsi="Times New Roman" w:cs="Times New Roman"/>
          <w:b/>
          <w:color w:val="505151"/>
          <w:sz w:val="24"/>
          <w:szCs w:val="24"/>
          <w:shd w:val="clear" w:color="auto" w:fill="FFFFFF"/>
        </w:rPr>
        <w:br w:type="page"/>
      </w:r>
    </w:p>
    <w:p w:rsidR="00C663E9" w:rsidRPr="001530E1" w:rsidRDefault="00604F2F" w:rsidP="00D81691">
      <w:pPr>
        <w:spacing w:line="480" w:lineRule="auto"/>
        <w:jc w:val="center"/>
        <w:rPr>
          <w:rFonts w:ascii="Times New Roman" w:hAnsi="Times New Roman" w:cs="Times New Roman"/>
          <w:b/>
          <w:color w:val="505151"/>
          <w:sz w:val="24"/>
          <w:szCs w:val="24"/>
          <w:shd w:val="clear" w:color="auto" w:fill="FFFFFF"/>
        </w:rPr>
      </w:pPr>
      <w:r w:rsidRPr="001530E1">
        <w:rPr>
          <w:rFonts w:ascii="Times New Roman" w:hAnsi="Times New Roman" w:cs="Times New Roman"/>
          <w:b/>
          <w:color w:val="505151"/>
          <w:sz w:val="24"/>
          <w:szCs w:val="24"/>
          <w:shd w:val="clear" w:color="auto" w:fill="FFFFFF"/>
        </w:rPr>
        <w:lastRenderedPageBreak/>
        <w:t>Vitiligo</w:t>
      </w:r>
    </w:p>
    <w:p w:rsidR="00AC205F" w:rsidRDefault="00AC205F" w:rsidP="00C5593E">
      <w:pPr>
        <w:spacing w:line="480" w:lineRule="auto"/>
        <w:ind w:firstLine="720"/>
        <w:rPr>
          <w:rFonts w:ascii="Times New Roman" w:hAnsi="Times New Roman" w:cs="Times New Roman"/>
          <w:sz w:val="24"/>
          <w:szCs w:val="24"/>
        </w:rPr>
      </w:pPr>
      <w:r w:rsidRPr="001530E1">
        <w:rPr>
          <w:rFonts w:ascii="Times New Roman" w:hAnsi="Times New Roman" w:cs="Times New Roman"/>
          <w:sz w:val="24"/>
          <w:szCs w:val="24"/>
        </w:rPr>
        <w:t>Vitiligo is a condition of the skin in which it loses its pigment cells called melanocytes. These cells may die or fail to produce melanin, the pigment that gives the skin, hair, and eye color. The result is discolored patches on different areas of the skin, mucous membranes and hair. While it is unclear what exactly causes the disease, it is thought to be an autoimmune condition, with family history also playing a role. Besides, there are trigger events such as skin trauma, sunburn, and stress.</w:t>
      </w:r>
      <w:r w:rsidR="00930FF4" w:rsidRPr="001530E1">
        <w:rPr>
          <w:rFonts w:ascii="Times New Roman" w:hAnsi="Times New Roman" w:cs="Times New Roman"/>
          <w:sz w:val="24"/>
          <w:szCs w:val="24"/>
        </w:rPr>
        <w:t xml:space="preserve"> The signs and symptoms of the disease include patchy loss of skin color, which often first appears on the face, hands, and areas with mucous membranes. There is also premature graying or whitening of hair on the </w:t>
      </w:r>
      <w:r w:rsidR="00350105" w:rsidRPr="001530E1">
        <w:rPr>
          <w:rFonts w:ascii="Times New Roman" w:hAnsi="Times New Roman" w:cs="Times New Roman"/>
          <w:sz w:val="24"/>
          <w:szCs w:val="24"/>
        </w:rPr>
        <w:t>scalp,</w:t>
      </w:r>
      <w:r w:rsidR="00930FF4" w:rsidRPr="001530E1">
        <w:rPr>
          <w:rFonts w:ascii="Times New Roman" w:hAnsi="Times New Roman" w:cs="Times New Roman"/>
          <w:sz w:val="24"/>
          <w:szCs w:val="24"/>
        </w:rPr>
        <w:t xml:space="preserve"> beard, eyebrows, or eyelashes</w:t>
      </w:r>
      <w:r w:rsidR="00B927DC">
        <w:rPr>
          <w:rFonts w:ascii="Times New Roman" w:hAnsi="Times New Roman" w:cs="Times New Roman"/>
          <w:sz w:val="24"/>
          <w:szCs w:val="24"/>
        </w:rPr>
        <w:t xml:space="preserve"> (Mayo Clinic, n.d.)</w:t>
      </w:r>
      <w:r w:rsidR="00930FF4" w:rsidRPr="001530E1">
        <w:rPr>
          <w:rFonts w:ascii="Times New Roman" w:hAnsi="Times New Roman" w:cs="Times New Roman"/>
          <w:sz w:val="24"/>
          <w:szCs w:val="24"/>
        </w:rPr>
        <w:t>.</w:t>
      </w:r>
      <w:r w:rsidR="00350105" w:rsidRPr="001530E1">
        <w:rPr>
          <w:rFonts w:ascii="Times New Roman" w:hAnsi="Times New Roman" w:cs="Times New Roman"/>
          <w:sz w:val="24"/>
          <w:szCs w:val="24"/>
        </w:rPr>
        <w:t xml:space="preserve"> Although it can occur at any age, it appears before an individual </w:t>
      </w:r>
      <w:r w:rsidR="00DC14BB" w:rsidRPr="001530E1">
        <w:rPr>
          <w:rFonts w:ascii="Times New Roman" w:hAnsi="Times New Roman" w:cs="Times New Roman"/>
          <w:sz w:val="24"/>
          <w:szCs w:val="24"/>
        </w:rPr>
        <w:t>reach</w:t>
      </w:r>
      <w:r w:rsidR="00350105" w:rsidRPr="001530E1">
        <w:rPr>
          <w:rFonts w:ascii="Times New Roman" w:hAnsi="Times New Roman" w:cs="Times New Roman"/>
          <w:sz w:val="24"/>
          <w:szCs w:val="24"/>
        </w:rPr>
        <w:t xml:space="preserve"> 30.</w:t>
      </w:r>
    </w:p>
    <w:p w:rsidR="001530E1" w:rsidRDefault="001530E1" w:rsidP="00157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different types of vitiligo, including universal vitiligo, generalized vitiligo, segmental vitiligo, localized vitiligo, and acrofacial vitiligo. Universal vitiligo affects nearly </w:t>
      </w:r>
      <w:r w:rsidR="00754FBF">
        <w:rPr>
          <w:rFonts w:ascii="Times New Roman" w:hAnsi="Times New Roman" w:cs="Times New Roman"/>
          <w:sz w:val="24"/>
          <w:szCs w:val="24"/>
        </w:rPr>
        <w:t>all skin surfaces. Generalized vitiligo affects most parts of the body with the discolored patches progressing symmetrically on the body. Segmental vitiligo affects only one side of the body and tends to occur at a younger age, when it progresses for a year or two before stopping. Localized vitiligo affects only a few areas of the body</w:t>
      </w:r>
      <w:r w:rsidR="004C752A">
        <w:rPr>
          <w:rFonts w:ascii="Times New Roman" w:hAnsi="Times New Roman" w:cs="Times New Roman"/>
          <w:sz w:val="24"/>
          <w:szCs w:val="24"/>
        </w:rPr>
        <w:t xml:space="preserve"> (</w:t>
      </w:r>
      <w:r w:rsidR="004C752A">
        <w:rPr>
          <w:rFonts w:ascii="Times New Roman" w:eastAsia="Times New Roman" w:hAnsi="Times New Roman" w:cs="Times New Roman"/>
          <w:sz w:val="24"/>
          <w:szCs w:val="24"/>
        </w:rPr>
        <w:t xml:space="preserve">Bergqvist </w:t>
      </w:r>
      <w:r w:rsidR="004C752A" w:rsidRPr="004C752A">
        <w:rPr>
          <w:rFonts w:ascii="Times New Roman" w:eastAsia="Times New Roman" w:hAnsi="Times New Roman" w:cs="Times New Roman"/>
          <w:sz w:val="24"/>
          <w:szCs w:val="24"/>
        </w:rPr>
        <w:t>&amp; Ezzedine</w:t>
      </w:r>
      <w:r w:rsidR="004C752A">
        <w:rPr>
          <w:rFonts w:ascii="Times New Roman" w:eastAsia="Times New Roman" w:hAnsi="Times New Roman" w:cs="Times New Roman"/>
          <w:sz w:val="24"/>
          <w:szCs w:val="24"/>
        </w:rPr>
        <w:t>, 2020)</w:t>
      </w:r>
      <w:r w:rsidR="00754FBF">
        <w:rPr>
          <w:rFonts w:ascii="Times New Roman" w:hAnsi="Times New Roman" w:cs="Times New Roman"/>
          <w:sz w:val="24"/>
          <w:szCs w:val="24"/>
        </w:rPr>
        <w:t>.</w:t>
      </w:r>
      <w:r w:rsidR="00F013DB">
        <w:rPr>
          <w:rFonts w:ascii="Times New Roman" w:hAnsi="Times New Roman" w:cs="Times New Roman"/>
          <w:sz w:val="24"/>
          <w:szCs w:val="24"/>
        </w:rPr>
        <w:t xml:space="preserve"> Acrofacial vitiligo affects the face and hands as well as body openings such as ears, nose, and eyes.</w:t>
      </w:r>
    </w:p>
    <w:p w:rsidR="00AB23AE" w:rsidRPr="001530E1" w:rsidRDefault="00AB23AE" w:rsidP="007F2FAC">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The complications caused by vitiligo include increased risk of social or psychological distress, Sunburn, eye problems, and hearing loss.</w:t>
      </w:r>
      <w:r w:rsidR="00005E9D">
        <w:rPr>
          <w:rFonts w:ascii="Times New Roman" w:hAnsi="Times New Roman" w:cs="Times New Roman"/>
          <w:sz w:val="24"/>
          <w:szCs w:val="24"/>
        </w:rPr>
        <w:t xml:space="preserve"> Treatment for the disease depends on the individual’s age, the extent of skin involved and where, the rate of progression, and its effect on their life.</w:t>
      </w:r>
      <w:r w:rsidR="000B5E7C">
        <w:rPr>
          <w:rFonts w:ascii="Times New Roman" w:hAnsi="Times New Roman" w:cs="Times New Roman"/>
          <w:sz w:val="24"/>
          <w:szCs w:val="24"/>
        </w:rPr>
        <w:t xml:space="preserve"> There are medications and light-based therapies that are used to restore the skin color though the outcome is variable and is unpredictable. Some of them have devastating side effects.</w:t>
      </w:r>
      <w:r w:rsidR="000052A1">
        <w:rPr>
          <w:rFonts w:ascii="Times New Roman" w:hAnsi="Times New Roman" w:cs="Times New Roman"/>
          <w:sz w:val="24"/>
          <w:szCs w:val="24"/>
        </w:rPr>
        <w:t xml:space="preserve"> Regardless of the treatment, it takes several months to ascertain its effectiveness and one may </w:t>
      </w:r>
      <w:r w:rsidR="000052A1">
        <w:rPr>
          <w:rFonts w:ascii="Times New Roman" w:hAnsi="Times New Roman" w:cs="Times New Roman"/>
          <w:sz w:val="24"/>
          <w:szCs w:val="24"/>
        </w:rPr>
        <w:lastRenderedPageBreak/>
        <w:t xml:space="preserve">have to </w:t>
      </w:r>
      <w:r w:rsidR="003C6B0B">
        <w:rPr>
          <w:rFonts w:ascii="Times New Roman" w:hAnsi="Times New Roman" w:cs="Times New Roman"/>
          <w:sz w:val="24"/>
          <w:szCs w:val="24"/>
        </w:rPr>
        <w:t>try a</w:t>
      </w:r>
      <w:r w:rsidR="000052A1">
        <w:rPr>
          <w:rFonts w:ascii="Times New Roman" w:hAnsi="Times New Roman" w:cs="Times New Roman"/>
          <w:sz w:val="24"/>
          <w:szCs w:val="24"/>
        </w:rPr>
        <w:t xml:space="preserve"> combination of treatments before knowing what works for them.</w:t>
      </w:r>
      <w:r w:rsidR="003C6B0B">
        <w:rPr>
          <w:rFonts w:ascii="Times New Roman" w:hAnsi="Times New Roman" w:cs="Times New Roman"/>
          <w:sz w:val="24"/>
          <w:szCs w:val="24"/>
        </w:rPr>
        <w:t xml:space="preserve"> There is a drug that stimulate the melanocytes that is in testing phase</w:t>
      </w:r>
      <w:r w:rsidR="0017417A">
        <w:rPr>
          <w:rFonts w:ascii="Times New Roman" w:hAnsi="Times New Roman" w:cs="Times New Roman"/>
          <w:sz w:val="24"/>
          <w:szCs w:val="24"/>
        </w:rPr>
        <w:t xml:space="preserve"> (</w:t>
      </w:r>
      <w:r w:rsidR="0017417A" w:rsidRPr="001530E1">
        <w:rPr>
          <w:rFonts w:ascii="Times New Roman" w:hAnsi="Times New Roman" w:cs="Times New Roman"/>
          <w:sz w:val="24"/>
          <w:szCs w:val="24"/>
        </w:rPr>
        <w:t>Mayo Clinic</w:t>
      </w:r>
      <w:r w:rsidR="0017417A">
        <w:rPr>
          <w:rFonts w:ascii="Times New Roman" w:hAnsi="Times New Roman" w:cs="Times New Roman"/>
          <w:sz w:val="24"/>
          <w:szCs w:val="24"/>
        </w:rPr>
        <w:t>, n.d.)</w:t>
      </w:r>
      <w:r w:rsidR="003C6B0B">
        <w:rPr>
          <w:rFonts w:ascii="Times New Roman" w:hAnsi="Times New Roman" w:cs="Times New Roman"/>
          <w:sz w:val="24"/>
          <w:szCs w:val="24"/>
        </w:rPr>
        <w:t>. It is called afamelanotide and works by promoting the growth of melanocytes.</w:t>
      </w:r>
    </w:p>
    <w:p w:rsidR="003C6B0B" w:rsidRDefault="003C6B0B">
      <w:pPr>
        <w:rPr>
          <w:rFonts w:ascii="Times New Roman" w:hAnsi="Times New Roman" w:cs="Times New Roman"/>
          <w:sz w:val="24"/>
          <w:szCs w:val="24"/>
        </w:rPr>
      </w:pPr>
      <w:r>
        <w:rPr>
          <w:rFonts w:ascii="Times New Roman" w:hAnsi="Times New Roman" w:cs="Times New Roman"/>
          <w:sz w:val="24"/>
          <w:szCs w:val="24"/>
        </w:rPr>
        <w:br w:type="page"/>
      </w:r>
    </w:p>
    <w:p w:rsidR="00555FC7" w:rsidRPr="001530E1" w:rsidRDefault="00555FC7" w:rsidP="003C6B0B">
      <w:pPr>
        <w:spacing w:line="480" w:lineRule="auto"/>
        <w:jc w:val="center"/>
        <w:rPr>
          <w:rFonts w:ascii="Times New Roman" w:hAnsi="Times New Roman" w:cs="Times New Roman"/>
          <w:sz w:val="24"/>
          <w:szCs w:val="24"/>
        </w:rPr>
      </w:pPr>
      <w:r w:rsidRPr="001530E1">
        <w:rPr>
          <w:rFonts w:ascii="Times New Roman" w:hAnsi="Times New Roman" w:cs="Times New Roman"/>
          <w:sz w:val="24"/>
          <w:szCs w:val="24"/>
        </w:rPr>
        <w:lastRenderedPageBreak/>
        <w:t>References</w:t>
      </w:r>
    </w:p>
    <w:p w:rsidR="004C752A" w:rsidRPr="004C752A" w:rsidRDefault="004C752A" w:rsidP="004C752A">
      <w:pPr>
        <w:spacing w:after="0" w:line="480" w:lineRule="auto"/>
        <w:ind w:left="720" w:hanging="720"/>
        <w:rPr>
          <w:rFonts w:ascii="Times New Roman" w:eastAsia="Times New Roman" w:hAnsi="Times New Roman" w:cs="Times New Roman"/>
          <w:sz w:val="24"/>
          <w:szCs w:val="24"/>
        </w:rPr>
      </w:pPr>
      <w:r w:rsidRPr="004C752A">
        <w:rPr>
          <w:rFonts w:ascii="Times New Roman" w:eastAsia="Times New Roman" w:hAnsi="Times New Roman" w:cs="Times New Roman"/>
          <w:sz w:val="24"/>
          <w:szCs w:val="24"/>
        </w:rPr>
        <w:t xml:space="preserve">Bergqvist, C., &amp; Ezzedine, K. (2020). Vitiligo: A Review. </w:t>
      </w:r>
      <w:r w:rsidRPr="004C752A">
        <w:rPr>
          <w:rFonts w:ascii="Times New Roman" w:eastAsia="Times New Roman" w:hAnsi="Times New Roman" w:cs="Times New Roman"/>
          <w:i/>
          <w:iCs/>
          <w:sz w:val="24"/>
          <w:szCs w:val="24"/>
        </w:rPr>
        <w:t>Dermatology</w:t>
      </w:r>
      <w:r w:rsidRPr="004C752A">
        <w:rPr>
          <w:rFonts w:ascii="Times New Roman" w:eastAsia="Times New Roman" w:hAnsi="Times New Roman" w:cs="Times New Roman"/>
          <w:sz w:val="24"/>
          <w:szCs w:val="24"/>
        </w:rPr>
        <w:t>, 1-22.</w:t>
      </w:r>
    </w:p>
    <w:p w:rsidR="00555FC7" w:rsidRPr="001530E1" w:rsidRDefault="00555FC7" w:rsidP="004C752A">
      <w:pPr>
        <w:spacing w:line="480" w:lineRule="auto"/>
        <w:ind w:left="720" w:hanging="720"/>
        <w:rPr>
          <w:rFonts w:ascii="Times New Roman" w:hAnsi="Times New Roman" w:cs="Times New Roman"/>
          <w:sz w:val="24"/>
          <w:szCs w:val="24"/>
        </w:rPr>
      </w:pPr>
      <w:r w:rsidRPr="001530E1">
        <w:rPr>
          <w:rFonts w:ascii="Times New Roman" w:hAnsi="Times New Roman" w:cs="Times New Roman"/>
          <w:sz w:val="24"/>
          <w:szCs w:val="24"/>
        </w:rPr>
        <w:t>Mayo Clinic. (n.d.). Vitiligo. Retrieved on November 20, 2020 from https://www.mayoclinic.org/diseases-conditions/vitiligo/doctors-departments/ddc-20355920</w:t>
      </w:r>
    </w:p>
    <w:p w:rsidR="00E3251D" w:rsidRPr="001530E1" w:rsidRDefault="00E3251D" w:rsidP="00E3251D">
      <w:pPr>
        <w:spacing w:line="480" w:lineRule="auto"/>
        <w:rPr>
          <w:rFonts w:ascii="Times New Roman" w:hAnsi="Times New Roman" w:cs="Times New Roman"/>
          <w:sz w:val="24"/>
          <w:szCs w:val="24"/>
        </w:rPr>
      </w:pPr>
    </w:p>
    <w:sectPr w:rsidR="00E3251D" w:rsidRPr="001530E1" w:rsidSect="002571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691" w:rsidRDefault="00D81691" w:rsidP="00D81691">
      <w:pPr>
        <w:spacing w:after="0" w:line="240" w:lineRule="auto"/>
      </w:pPr>
      <w:r>
        <w:separator/>
      </w:r>
    </w:p>
  </w:endnote>
  <w:endnote w:type="continuationSeparator" w:id="0">
    <w:p w:rsidR="00D81691" w:rsidRDefault="00D81691" w:rsidP="00D81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691" w:rsidRDefault="00D81691" w:rsidP="00D81691">
      <w:pPr>
        <w:spacing w:after="0" w:line="240" w:lineRule="auto"/>
      </w:pPr>
      <w:r>
        <w:separator/>
      </w:r>
    </w:p>
  </w:footnote>
  <w:footnote w:type="continuationSeparator" w:id="0">
    <w:p w:rsidR="00D81691" w:rsidRDefault="00D81691" w:rsidP="00D81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691" w:rsidRPr="002571B8" w:rsidRDefault="00D81691">
    <w:pPr>
      <w:pStyle w:val="Header"/>
      <w:jc w:val="right"/>
      <w:rPr>
        <w:rFonts w:ascii="Times New Roman" w:hAnsi="Times New Roman" w:cs="Times New Roman"/>
        <w:sz w:val="20"/>
        <w:szCs w:val="20"/>
      </w:rPr>
    </w:pPr>
    <w:r w:rsidRPr="002571B8">
      <w:rPr>
        <w:rFonts w:ascii="Times New Roman" w:hAnsi="Times New Roman" w:cs="Times New Roman"/>
        <w:sz w:val="20"/>
        <w:szCs w:val="20"/>
      </w:rPr>
      <w:t>VITILIGO</w:t>
    </w:r>
    <w:r w:rsidRPr="002571B8">
      <w:rPr>
        <w:rFonts w:ascii="Times New Roman" w:hAnsi="Times New Roman" w:cs="Times New Roman"/>
        <w:sz w:val="20"/>
        <w:szCs w:val="20"/>
      </w:rPr>
      <w:tab/>
    </w:r>
    <w:r w:rsidRPr="002571B8">
      <w:rPr>
        <w:rFonts w:ascii="Times New Roman" w:hAnsi="Times New Roman" w:cs="Times New Roman"/>
        <w:sz w:val="20"/>
        <w:szCs w:val="20"/>
      </w:rPr>
      <w:tab/>
    </w:r>
    <w:sdt>
      <w:sdtPr>
        <w:rPr>
          <w:rFonts w:ascii="Times New Roman" w:hAnsi="Times New Roman" w:cs="Times New Roman"/>
          <w:sz w:val="20"/>
          <w:szCs w:val="20"/>
        </w:rPr>
        <w:id w:val="-524326940"/>
        <w:docPartObj>
          <w:docPartGallery w:val="Page Numbers (Top of Page)"/>
          <w:docPartUnique/>
        </w:docPartObj>
      </w:sdtPr>
      <w:sdtEndPr>
        <w:rPr>
          <w:noProof/>
        </w:rPr>
      </w:sdtEndPr>
      <w:sdtContent>
        <w:r w:rsidRPr="002571B8">
          <w:rPr>
            <w:rFonts w:ascii="Times New Roman" w:hAnsi="Times New Roman" w:cs="Times New Roman"/>
            <w:sz w:val="20"/>
            <w:szCs w:val="20"/>
          </w:rPr>
          <w:fldChar w:fldCharType="begin"/>
        </w:r>
        <w:r w:rsidRPr="002571B8">
          <w:rPr>
            <w:rFonts w:ascii="Times New Roman" w:hAnsi="Times New Roman" w:cs="Times New Roman"/>
            <w:sz w:val="20"/>
            <w:szCs w:val="20"/>
          </w:rPr>
          <w:instrText xml:space="preserve"> PAGE   \* MERGEFORMAT </w:instrText>
        </w:r>
        <w:r w:rsidRPr="002571B8">
          <w:rPr>
            <w:rFonts w:ascii="Times New Roman" w:hAnsi="Times New Roman" w:cs="Times New Roman"/>
            <w:sz w:val="20"/>
            <w:szCs w:val="20"/>
          </w:rPr>
          <w:fldChar w:fldCharType="separate"/>
        </w:r>
        <w:r w:rsidR="007F2FAC">
          <w:rPr>
            <w:rFonts w:ascii="Times New Roman" w:hAnsi="Times New Roman" w:cs="Times New Roman"/>
            <w:noProof/>
            <w:sz w:val="20"/>
            <w:szCs w:val="20"/>
          </w:rPr>
          <w:t>4</w:t>
        </w:r>
        <w:r w:rsidRPr="002571B8">
          <w:rPr>
            <w:rFonts w:ascii="Times New Roman" w:hAnsi="Times New Roman" w:cs="Times New Roman"/>
            <w:noProof/>
            <w:sz w:val="20"/>
            <w:szCs w:val="20"/>
          </w:rPr>
          <w:fldChar w:fldCharType="end"/>
        </w:r>
      </w:sdtContent>
    </w:sdt>
  </w:p>
  <w:p w:rsidR="00D81691" w:rsidRDefault="00D8169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1B8" w:rsidRPr="002571B8" w:rsidRDefault="002571B8">
    <w:pPr>
      <w:pStyle w:val="Header"/>
      <w:rPr>
        <w:rFonts w:ascii="Times New Roman" w:hAnsi="Times New Roman" w:cs="Times New Roman"/>
        <w:sz w:val="20"/>
        <w:szCs w:val="20"/>
      </w:rPr>
    </w:pPr>
    <w:r w:rsidRPr="002571B8">
      <w:rPr>
        <w:rFonts w:ascii="Times New Roman" w:hAnsi="Times New Roman" w:cs="Times New Roman"/>
        <w:sz w:val="20"/>
        <w:szCs w:val="20"/>
      </w:rPr>
      <w:t>Running head: VITILIGO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4E726B"/>
    <w:multiLevelType w:val="multilevel"/>
    <w:tmpl w:val="A6F2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xNTcztjS3MDExMrNQ0lEKTi0uzszPAykwrAUACMnPKiwAAAA="/>
  </w:docVars>
  <w:rsids>
    <w:rsidRoot w:val="00C663E9"/>
    <w:rsid w:val="000052A1"/>
    <w:rsid w:val="00005E9D"/>
    <w:rsid w:val="000B5E7C"/>
    <w:rsid w:val="001530E1"/>
    <w:rsid w:val="0015702C"/>
    <w:rsid w:val="0017417A"/>
    <w:rsid w:val="001B40FE"/>
    <w:rsid w:val="002274D4"/>
    <w:rsid w:val="002571B8"/>
    <w:rsid w:val="00350105"/>
    <w:rsid w:val="003A78B9"/>
    <w:rsid w:val="003C6B0B"/>
    <w:rsid w:val="004C752A"/>
    <w:rsid w:val="00555FC7"/>
    <w:rsid w:val="00604F2F"/>
    <w:rsid w:val="00754FBF"/>
    <w:rsid w:val="007F2FAC"/>
    <w:rsid w:val="00847A4E"/>
    <w:rsid w:val="00930FF4"/>
    <w:rsid w:val="00AB23AE"/>
    <w:rsid w:val="00AC205F"/>
    <w:rsid w:val="00B000C6"/>
    <w:rsid w:val="00B927DC"/>
    <w:rsid w:val="00C5593E"/>
    <w:rsid w:val="00C663E9"/>
    <w:rsid w:val="00D81691"/>
    <w:rsid w:val="00DC14BB"/>
    <w:rsid w:val="00DD08F9"/>
    <w:rsid w:val="00E3251D"/>
    <w:rsid w:val="00F01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E2AA2"/>
  <w15:chartTrackingRefBased/>
  <w15:docId w15:val="{EE5E1E69-039E-4BD0-B352-4C173D4C5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51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1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691"/>
  </w:style>
  <w:style w:type="paragraph" w:styleId="Footer">
    <w:name w:val="footer"/>
    <w:basedOn w:val="Normal"/>
    <w:link w:val="FooterChar"/>
    <w:uiPriority w:val="99"/>
    <w:unhideWhenUsed/>
    <w:rsid w:val="00D81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011569">
      <w:bodyDiv w:val="1"/>
      <w:marLeft w:val="0"/>
      <w:marRight w:val="0"/>
      <w:marTop w:val="0"/>
      <w:marBottom w:val="0"/>
      <w:divBdr>
        <w:top w:val="none" w:sz="0" w:space="0" w:color="auto"/>
        <w:left w:val="none" w:sz="0" w:space="0" w:color="auto"/>
        <w:bottom w:val="none" w:sz="0" w:space="0" w:color="auto"/>
        <w:right w:val="none" w:sz="0" w:space="0" w:color="auto"/>
      </w:divBdr>
    </w:div>
    <w:div w:id="2110195489">
      <w:bodyDiv w:val="1"/>
      <w:marLeft w:val="0"/>
      <w:marRight w:val="0"/>
      <w:marTop w:val="0"/>
      <w:marBottom w:val="0"/>
      <w:divBdr>
        <w:top w:val="none" w:sz="0" w:space="0" w:color="auto"/>
        <w:left w:val="none" w:sz="0" w:space="0" w:color="auto"/>
        <w:bottom w:val="none" w:sz="0" w:space="0" w:color="auto"/>
        <w:right w:val="none" w:sz="0" w:space="0" w:color="auto"/>
      </w:divBdr>
      <w:divsChild>
        <w:div w:id="1432579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27</cp:revision>
  <dcterms:created xsi:type="dcterms:W3CDTF">2020-11-21T18:40:00Z</dcterms:created>
  <dcterms:modified xsi:type="dcterms:W3CDTF">2020-11-21T19:30:00Z</dcterms:modified>
</cp:coreProperties>
</file>