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/>
      </w:pPr>
    </w:p>
    <w:p>
      <w:pPr>
        <w:pStyle w:val="style0"/>
        <w:jc w:val="center"/>
        <w:rPr>
          <w:b/>
        </w:rPr>
      </w:pPr>
      <w:r>
        <w:rPr>
          <w:b/>
        </w:rPr>
        <w:t>Individual Assignment</w:t>
      </w:r>
    </w:p>
    <w:p>
      <w:pPr>
        <w:pStyle w:val="style0"/>
        <w:jc w:val="center"/>
        <w:rPr/>
      </w:pPr>
    </w:p>
    <w:p>
      <w:pPr>
        <w:pStyle w:val="style0"/>
        <w:jc w:val="center"/>
        <w:rPr/>
      </w:pPr>
      <w:r>
        <w:t>Student’s ID</w:t>
      </w:r>
    </w:p>
    <w:p>
      <w:pPr>
        <w:pStyle w:val="style0"/>
        <w:jc w:val="center"/>
        <w:rPr/>
      </w:pPr>
      <w:r>
        <w:t>Student’s Name</w:t>
      </w:r>
    </w:p>
    <w:p>
      <w:pPr>
        <w:pStyle w:val="style0"/>
        <w:jc w:val="center"/>
        <w:rPr/>
      </w:pPr>
      <w:r>
        <w:t>Department, Institution</w:t>
      </w:r>
    </w:p>
    <w:p>
      <w:pPr>
        <w:pStyle w:val="style0"/>
        <w:jc w:val="center"/>
        <w:rPr/>
      </w:pPr>
      <w:r>
        <w:t>Course</w:t>
      </w:r>
    </w:p>
    <w:p>
      <w:pPr>
        <w:pStyle w:val="style0"/>
        <w:jc w:val="center"/>
        <w:rPr/>
      </w:pPr>
      <w:r>
        <w:t>Professor</w:t>
      </w:r>
    </w:p>
    <w:p>
      <w:pPr>
        <w:pStyle w:val="style0"/>
        <w:jc w:val="center"/>
        <w:rPr/>
      </w:pPr>
      <w:r>
        <w:t>Date</w:t>
      </w:r>
    </w:p>
    <w:p>
      <w:pPr>
        <w:pStyle w:val="style0"/>
        <w:rPr/>
      </w:pPr>
    </w:p>
    <w:p>
      <w:pPr>
        <w:pStyle w:val="style0"/>
        <w:rPr>
          <w:b/>
        </w:rPr>
      </w:pPr>
      <w:r>
        <w:rPr>
          <w:b/>
        </w:rPr>
        <w:br w:type="page"/>
      </w:r>
    </w:p>
    <w:p>
      <w:pPr>
        <w:pStyle w:val="style266"/>
        <w:rPr/>
      </w:pPr>
      <w:r>
        <w:t>Table of Contents</w:t>
      </w:r>
    </w:p>
    <w:p>
      <w:pPr>
        <w:pStyle w:val="style19"/>
        <w:tabs>
          <w:tab w:val="right" w:leader="dot" w:pos="9016"/>
        </w:tabs>
        <w:rPr>
          <w:noProof/>
        </w:rPr>
      </w:pPr>
      <w:r>
        <w:rPr/>
        <w:fldChar w:fldCharType="begin"/>
      </w:r>
      <w:r>
        <w:instrText xml:space="preserve"> TOC \o "1-3" \h \z \u </w:instrText>
      </w:r>
      <w:r>
        <w:rPr/>
        <w:fldChar w:fldCharType="separate"/>
      </w:r>
      <w:r>
        <w:rPr/>
        <w:fldChar w:fldCharType="begin"/>
      </w:r>
      <w:r>
        <w:instrText xml:space="preserve"> HYPERLINK \l "_Toc56468078" </w:instrText>
      </w:r>
      <w:r>
        <w:rPr/>
        <w:fldChar w:fldCharType="separate"/>
      </w:r>
      <w:r>
        <w:rPr>
          <w:rStyle w:val="style85"/>
          <w:b/>
          <w:noProof/>
        </w:rPr>
        <w:t>Individual Assignment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_Toc56468078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  <w:r>
        <w:rPr/>
        <w:fldChar w:fldCharType="end"/>
      </w:r>
    </w:p>
    <w:p>
      <w:pPr>
        <w:pStyle w:val="style20"/>
        <w:tabs>
          <w:tab w:val="right" w:leader="dot" w:pos="9016"/>
        </w:tabs>
        <w:rPr>
          <w:noProof/>
        </w:rPr>
      </w:pPr>
      <w:r>
        <w:rPr/>
        <w:fldChar w:fldCharType="begin"/>
      </w:r>
      <w:r>
        <w:instrText xml:space="preserve"> HYPERLINK \l "_Toc56468079" </w:instrText>
      </w:r>
      <w:r>
        <w:rPr/>
        <w:fldChar w:fldCharType="separate"/>
      </w:r>
      <w:r>
        <w:rPr>
          <w:rStyle w:val="style85"/>
          <w:b/>
          <w:noProof/>
        </w:rPr>
        <w:t>Question 1(a) Triple Bottom Line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_Toc56468079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  <w:r>
        <w:rPr/>
        <w:fldChar w:fldCharType="end"/>
      </w:r>
    </w:p>
    <w:p>
      <w:pPr>
        <w:pStyle w:val="style20"/>
        <w:tabs>
          <w:tab w:val="right" w:leader="dot" w:pos="9016"/>
        </w:tabs>
        <w:rPr>
          <w:noProof/>
        </w:rPr>
      </w:pPr>
      <w:r>
        <w:rPr/>
        <w:fldChar w:fldCharType="begin"/>
      </w:r>
      <w:r>
        <w:instrText xml:space="preserve"> HYPERLINK \l "_Toc56468080" </w:instrText>
      </w:r>
      <w:r>
        <w:rPr/>
        <w:fldChar w:fldCharType="separate"/>
      </w:r>
      <w:r>
        <w:rPr>
          <w:rStyle w:val="style85"/>
          <w:b/>
          <w:noProof/>
        </w:rPr>
        <w:t>Question 1(b) Volkswagen 'Dieselgate' emissions scandal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_Toc56468080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3</w:t>
      </w:r>
      <w:r>
        <w:rPr>
          <w:noProof/>
          <w:webHidden/>
        </w:rPr>
        <w:fldChar w:fldCharType="end"/>
      </w:r>
      <w:r>
        <w:rPr/>
        <w:fldChar w:fldCharType="end"/>
      </w:r>
    </w:p>
    <w:p>
      <w:pPr>
        <w:pStyle w:val="style20"/>
        <w:tabs>
          <w:tab w:val="right" w:leader="dot" w:pos="9016"/>
        </w:tabs>
        <w:rPr>
          <w:noProof/>
        </w:rPr>
      </w:pPr>
      <w:r>
        <w:rPr/>
        <w:fldChar w:fldCharType="begin"/>
      </w:r>
      <w:r>
        <w:instrText xml:space="preserve"> HYPERLINK \l "_Toc56468081" </w:instrText>
      </w:r>
      <w:r>
        <w:rPr/>
        <w:fldChar w:fldCharType="separate"/>
      </w:r>
      <w:r>
        <w:rPr>
          <w:rStyle w:val="style85"/>
          <w:b/>
          <w:noProof/>
        </w:rPr>
        <w:t>Question 2(a) Financial Statements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_Toc56468081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4</w:t>
      </w:r>
      <w:r>
        <w:rPr>
          <w:noProof/>
          <w:webHidden/>
        </w:rPr>
        <w:fldChar w:fldCharType="end"/>
      </w:r>
      <w:r>
        <w:rPr/>
        <w:fldChar w:fldCharType="end"/>
      </w:r>
    </w:p>
    <w:p>
      <w:pPr>
        <w:pStyle w:val="style20"/>
        <w:tabs>
          <w:tab w:val="right" w:leader="dot" w:pos="9016"/>
        </w:tabs>
        <w:rPr>
          <w:noProof/>
        </w:rPr>
      </w:pPr>
      <w:r>
        <w:rPr/>
        <w:fldChar w:fldCharType="begin"/>
      </w:r>
      <w:r>
        <w:instrText xml:space="preserve"> HYPERLINK \l "_Toc56468082" </w:instrText>
      </w:r>
      <w:r>
        <w:rPr/>
        <w:fldChar w:fldCharType="separate"/>
      </w:r>
      <w:r>
        <w:rPr>
          <w:rStyle w:val="style85"/>
          <w:b/>
          <w:noProof/>
        </w:rPr>
        <w:t>Question 2(b) Business Structure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_Toc56468082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  <w:r>
        <w:rPr/>
        <w:fldChar w:fldCharType="end"/>
      </w:r>
    </w:p>
    <w:p>
      <w:pPr>
        <w:pStyle w:val="style20"/>
        <w:tabs>
          <w:tab w:val="right" w:leader="dot" w:pos="9016"/>
        </w:tabs>
        <w:rPr>
          <w:noProof/>
        </w:rPr>
      </w:pPr>
      <w:r>
        <w:rPr/>
        <w:fldChar w:fldCharType="begin"/>
      </w:r>
      <w:r>
        <w:instrText xml:space="preserve"> HYPERLINK \l "_Toc56468083" </w:instrText>
      </w:r>
      <w:r>
        <w:rPr/>
        <w:fldChar w:fldCharType="separate"/>
      </w:r>
      <w:r>
        <w:rPr>
          <w:rStyle w:val="style85"/>
          <w:b/>
          <w:noProof/>
        </w:rPr>
        <w:t>Question 3: Errors in Financial Statement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_Toc56468083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5</w:t>
      </w:r>
      <w:r>
        <w:rPr>
          <w:noProof/>
          <w:webHidden/>
        </w:rPr>
        <w:fldChar w:fldCharType="end"/>
      </w:r>
      <w:r>
        <w:rPr/>
        <w:fldChar w:fldCharType="end"/>
      </w:r>
    </w:p>
    <w:p>
      <w:pPr>
        <w:pStyle w:val="style20"/>
        <w:tabs>
          <w:tab w:val="right" w:leader="dot" w:pos="9016"/>
        </w:tabs>
        <w:rPr>
          <w:noProof/>
        </w:rPr>
      </w:pPr>
      <w:r>
        <w:rPr/>
        <w:fldChar w:fldCharType="begin"/>
      </w:r>
      <w:r>
        <w:instrText xml:space="preserve"> HYPERLINK \l "_Toc56468084" </w:instrText>
      </w:r>
      <w:r>
        <w:rPr/>
        <w:fldChar w:fldCharType="separate"/>
      </w:r>
      <w:r>
        <w:rPr>
          <w:rStyle w:val="style85"/>
          <w:b/>
          <w:noProof/>
        </w:rPr>
        <w:t>Question 4: Statement of Cashflow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_Toc56468084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6</w:t>
      </w:r>
      <w:r>
        <w:rPr>
          <w:noProof/>
          <w:webHidden/>
        </w:rPr>
        <w:fldChar w:fldCharType="end"/>
      </w:r>
      <w:r>
        <w:rPr/>
        <w:fldChar w:fldCharType="end"/>
      </w:r>
    </w:p>
    <w:p>
      <w:pPr>
        <w:pStyle w:val="style19"/>
        <w:tabs>
          <w:tab w:val="right" w:leader="dot" w:pos="9016"/>
        </w:tabs>
        <w:rPr>
          <w:noProof/>
        </w:rPr>
      </w:pPr>
      <w:r>
        <w:rPr/>
        <w:fldChar w:fldCharType="begin"/>
      </w:r>
      <w:r>
        <w:instrText xml:space="preserve"> HYPERLINK \l "_Toc56468085" </w:instrText>
      </w:r>
      <w:r>
        <w:rPr/>
        <w:fldChar w:fldCharType="separate"/>
      </w:r>
      <w:r>
        <w:rPr>
          <w:rStyle w:val="style85"/>
          <w:b/>
          <w:noProof/>
        </w:rPr>
        <w:t>References</w:t>
      </w:r>
      <w:r>
        <w:rPr>
          <w:noProof/>
          <w:webHidden/>
        </w:rPr>
        <w:tab/>
      </w:r>
      <w:r>
        <w:rPr>
          <w:noProof/>
          <w:webHidden/>
        </w:rPr>
        <w:fldChar w:fldCharType="begin"/>
      </w:r>
      <w:r>
        <w:rPr>
          <w:noProof/>
          <w:webHidden/>
        </w:rPr>
        <w:instrText xml:space="preserve"> PAGEREF _Toc56468085 \h </w:instrText>
      </w:r>
      <w:r>
        <w:rPr>
          <w:noProof/>
          <w:webHidden/>
        </w:rPr>
        <w:fldChar w:fldCharType="separate"/>
      </w:r>
      <w:r>
        <w:rPr>
          <w:noProof/>
          <w:webHidden/>
        </w:rPr>
        <w:t>7</w:t>
      </w:r>
      <w:r>
        <w:rPr>
          <w:noProof/>
          <w:webHidden/>
        </w:rPr>
        <w:fldChar w:fldCharType="end"/>
      </w:r>
      <w:r>
        <w:rPr/>
        <w:fldChar w:fldCharType="end"/>
      </w:r>
    </w:p>
    <w:p>
      <w:pPr>
        <w:pStyle w:val="style0"/>
        <w:rPr/>
      </w:pPr>
      <w:r>
        <w:rPr>
          <w:b/>
          <w:bCs/>
          <w:noProof/>
        </w:rPr>
        <w:fldChar w:fldCharType="end"/>
      </w:r>
    </w:p>
    <w:p>
      <w:pPr>
        <w:pStyle w:val="style0"/>
        <w:rPr>
          <w:rFonts w:eastAsia="宋体"/>
          <w:b/>
        </w:rPr>
      </w:pPr>
      <w:r>
        <w:rPr>
          <w:b/>
        </w:rPr>
        <w:br w:type="page"/>
      </w:r>
    </w:p>
    <w:bookmarkStart w:id="0" w:name="_Toc56468078"/>
    <w:p>
      <w:pPr>
        <w:pStyle w:val="style1"/>
        <w:jc w:val="center"/>
        <w:rPr>
          <w:rFonts w:ascii="Times New Roman" w:cs="Times New Roman" w:hAnsi="Times New Roman"/>
          <w:b/>
          <w:color w:val="auto"/>
          <w:sz w:val="24"/>
          <w:szCs w:val="24"/>
        </w:rPr>
      </w:pPr>
      <w:r>
        <w:rPr>
          <w:rFonts w:ascii="Times New Roman" w:cs="Times New Roman" w:hAnsi="Times New Roman"/>
          <w:b/>
          <w:color w:val="auto"/>
          <w:sz w:val="24"/>
          <w:szCs w:val="24"/>
        </w:rPr>
        <w:t>Individual Assignment</w:t>
      </w:r>
      <w:bookmarkEnd w:id="0"/>
    </w:p>
    <w:bookmarkStart w:id="1" w:name="_Toc56468079"/>
    <w:p>
      <w:pPr>
        <w:pStyle w:val="style2"/>
        <w:rPr>
          <w:rFonts w:ascii="Times New Roman" w:cs="Times New Roman" w:hAnsi="Times New Roman"/>
          <w:b/>
          <w:color w:val="auto"/>
          <w:sz w:val="24"/>
          <w:szCs w:val="24"/>
        </w:rPr>
      </w:pPr>
      <w:r>
        <w:rPr>
          <w:rFonts w:ascii="Times New Roman" w:cs="Times New Roman" w:hAnsi="Times New Roman"/>
          <w:b/>
          <w:color w:val="auto"/>
          <w:sz w:val="24"/>
          <w:szCs w:val="24"/>
        </w:rPr>
        <w:t>Question 1(a) Triple Bottom Line</w:t>
      </w:r>
      <w:bookmarkEnd w:id="1"/>
    </w:p>
    <w:p>
      <w:pPr>
        <w:pStyle w:val="style0"/>
        <w:ind w:firstLine="720"/>
        <w:rPr/>
      </w:pPr>
      <w:r>
        <w:t>The Triple Bottom Line is a scale that the companies use to measure profits and its impact</w:t>
      </w:r>
      <w:r>
        <w:t xml:space="preserve"> on its environs</w:t>
      </w:r>
      <w:r>
        <w:t xml:space="preserve">. </w:t>
      </w:r>
      <w:r>
        <w:t>The Triple Bottom Line shows that the firms should focus more on the social and environmental effects on gains. I</w:t>
      </w:r>
      <w:r>
        <w:t xml:space="preserve">t is the bottom line or </w:t>
      </w:r>
      <w:r>
        <w:t xml:space="preserve">a </w:t>
      </w:r>
      <w:r>
        <w:t>way of expressing the firm's result and sustainability locally and globally</w:t>
      </w:r>
      <w:r>
        <w:t xml:space="preserve"> by focusing on profit, people</w:t>
      </w:r>
      <w:r>
        <w:t>,</w:t>
      </w:r>
      <w:r>
        <w:t xml:space="preserve"> and the planet</w:t>
      </w:r>
      <w:r>
        <w:t xml:space="preserve">.  </w:t>
      </w:r>
      <w:r>
        <w:t xml:space="preserve">The </w:t>
      </w:r>
      <w:r>
        <w:t xml:space="preserve">Triple bottom line's central concept is that </w:t>
      </w:r>
      <w:r>
        <w:t>either the firm is fully responsible to everyone who is involved</w:t>
      </w:r>
      <w:r>
        <w:t xml:space="preserve"> directly or indirectly in the organizational activities and the planet they are living on. </w:t>
      </w:r>
      <w:r>
        <w:t>Therefore, the Triple bottom line gauges the firm's commitment to corporate social responsibility and its effects on the environment</w:t>
      </w:r>
      <w:r>
        <w:t>.</w:t>
      </w:r>
    </w:p>
    <w:bookmarkStart w:id="2" w:name="_Toc56468080"/>
    <w:p>
      <w:pPr>
        <w:pStyle w:val="style2"/>
        <w:rPr>
          <w:rFonts w:ascii="Times New Roman" w:cs="Times New Roman" w:hAnsi="Times New Roman"/>
          <w:b/>
          <w:color w:val="auto"/>
          <w:sz w:val="24"/>
          <w:szCs w:val="24"/>
        </w:rPr>
      </w:pPr>
      <w:r>
        <w:rPr>
          <w:rFonts w:ascii="Times New Roman" w:cs="Times New Roman" w:hAnsi="Times New Roman"/>
          <w:b/>
          <w:color w:val="auto"/>
          <w:sz w:val="24"/>
          <w:szCs w:val="24"/>
        </w:rPr>
        <w:t>Question 1(b) Volkswagen '</w:t>
      </w:r>
      <w:r>
        <w:rPr>
          <w:rFonts w:ascii="Times New Roman" w:cs="Times New Roman" w:hAnsi="Times New Roman"/>
          <w:b/>
          <w:color w:val="auto"/>
          <w:sz w:val="24"/>
          <w:szCs w:val="24"/>
        </w:rPr>
        <w:t>Dieselgate</w:t>
      </w:r>
      <w:r>
        <w:rPr>
          <w:rFonts w:ascii="Times New Roman" w:cs="Times New Roman" w:hAnsi="Times New Roman"/>
          <w:b/>
          <w:color w:val="auto"/>
          <w:sz w:val="24"/>
          <w:szCs w:val="24"/>
        </w:rPr>
        <w:t>' emissions scandal</w:t>
      </w:r>
      <w:bookmarkEnd w:id="2"/>
    </w:p>
    <w:p>
      <w:pPr>
        <w:pStyle w:val="style0"/>
        <w:ind w:firstLine="720"/>
        <w:rPr/>
      </w:pPr>
      <w:r>
        <w:t>I</w:t>
      </w:r>
      <w:r>
        <w:t xml:space="preserve">n the </w:t>
      </w:r>
      <w:bookmarkStart w:id="3" w:name="_GoBack"/>
      <w:bookmarkEnd w:id="3"/>
      <w:r>
        <w:t xml:space="preserve">Volkswagen </w:t>
      </w:r>
      <w:r>
        <w:t>“</w:t>
      </w:r>
      <w:r>
        <w:t>Dieselgate</w:t>
      </w:r>
      <w:r>
        <w:t>”</w:t>
      </w:r>
      <w:r>
        <w:t xml:space="preserve"> emissions scan</w:t>
      </w:r>
      <w:r>
        <w:t xml:space="preserve">dal, the company sold </w:t>
      </w:r>
      <w:r>
        <w:t>million</w:t>
      </w:r>
      <w:r>
        <w:t>s of</w:t>
      </w:r>
      <w:r>
        <w:t xml:space="preserve"> cars in Europe and 600,0</w:t>
      </w:r>
      <w:r>
        <w:t>0</w:t>
      </w:r>
      <w:r>
        <w:t>0 in the US Volkswagen fitted vehicles with "defeat devices</w:t>
      </w:r>
      <w:r>
        <w:t>”</w:t>
      </w:r>
      <w:r>
        <w:t xml:space="preserve"> following </w:t>
      </w:r>
      <w:r>
        <w:t>research</w:t>
      </w:r>
      <w:r>
        <w:t xml:space="preserve"> in 2015</w:t>
      </w:r>
      <w:r>
        <w:t xml:space="preserve"> about pollution</w:t>
      </w:r>
      <w:r>
        <w:t xml:space="preserve">. </w:t>
      </w:r>
      <w:r>
        <w:t>From the Triple bottom</w:t>
      </w:r>
      <w:r>
        <w:t>-</w:t>
      </w:r>
      <w:r>
        <w:t xml:space="preserve">line perspective, the firm concealed software used to evade the pollution limits in the name of making </w:t>
      </w:r>
      <w:r>
        <w:t xml:space="preserve">a </w:t>
      </w:r>
      <w:r>
        <w:t>profit. The “defeat devices” could cut the emission of the cars</w:t>
      </w:r>
      <w:r>
        <w:t xml:space="preserve">. As a result, the decision of the management affected the environment. The 11 million vehicles contributed to excessive pollutions </w:t>
      </w:r>
      <w:r>
        <w:t>o</w:t>
      </w:r>
      <w:r>
        <w:t>n the planet; hence the firm violated the US Clean Air Act. Besides, Volkswagen happily made profits for many years with their deception of the "eco-friendly" diesel. Moreover, their action affected approximately 100,000 motorists (</w:t>
      </w:r>
      <w:r>
        <w:t>Baker, 2015</w:t>
      </w:r>
      <w:r>
        <w:t xml:space="preserve">). </w:t>
      </w:r>
    </w:p>
    <w:p>
      <w:pPr>
        <w:pStyle w:val="style0"/>
        <w:ind w:firstLine="720"/>
        <w:rPr/>
      </w:pPr>
      <w:r>
        <w:t>According to Lynch</w:t>
      </w:r>
      <w:r>
        <w:t xml:space="preserve"> and Santos (2016)</w:t>
      </w:r>
      <w:r>
        <w:t xml:space="preserve">, </w:t>
      </w:r>
      <w:r>
        <w:t xml:space="preserve">pressure, opportunity, and rationalization often </w:t>
      </w:r>
      <w:r>
        <w:t>allow the employees</w:t>
      </w:r>
      <w:r>
        <w:t xml:space="preserve"> to act unethically</w:t>
      </w:r>
      <w:r>
        <w:t xml:space="preserve">. In the </w:t>
      </w:r>
      <w:r>
        <w:t>Volkswagen Emissions Scandal case, the VW engineers were under pressure from the top official to match the strict regulations in the US. Due to the autocratic leadership style</w:t>
      </w:r>
      <w:r>
        <w:t xml:space="preserve"> and</w:t>
      </w:r>
      <w:r>
        <w:t xml:space="preserve"> the urge to </w:t>
      </w:r>
      <w:r>
        <w:t xml:space="preserve">succeeds, </w:t>
      </w:r>
      <w:r>
        <w:t>the engineering technique was</w:t>
      </w:r>
      <w:r>
        <w:t xml:space="preserve"> to </w:t>
      </w:r>
      <w:r>
        <w:t>be tested</w:t>
      </w:r>
      <w:r>
        <w:t xml:space="preserve"> and the design of the cars.</w:t>
      </w:r>
      <w:r>
        <w:t xml:space="preserve">  </w:t>
      </w:r>
      <w:r>
        <w:t>The</w:t>
      </w:r>
      <w:r>
        <w:t xml:space="preserve"> company’s 25-page Code of Conduct that</w:t>
      </w:r>
      <w:r>
        <w:t xml:space="preserve"> demanded employees </w:t>
      </w:r>
      <w:r>
        <w:t xml:space="preserve">to be ethical </w:t>
      </w:r>
      <w:r>
        <w:t>was deemed</w:t>
      </w:r>
      <w:r>
        <w:t xml:space="preserve"> irrelevant. Secondly, this crisis presented an opportunity for the firm to cheat. The engineers came up with “defeat devices” that </w:t>
      </w:r>
      <w:r>
        <w:t xml:space="preserve">were </w:t>
      </w:r>
      <w:r>
        <w:t xml:space="preserve">detected when care underwent testing. Upon testing, the device would turn on the emission-controlling device, making it easy for cheating. The third reason behind the decision was rationalization. </w:t>
      </w:r>
      <w:r>
        <w:t>Before</w:t>
      </w:r>
      <w:r>
        <w:t xml:space="preserve"> the 2015 scandal, </w:t>
      </w:r>
      <w:r>
        <w:t>Lynch</w:t>
      </w:r>
      <w:r>
        <w:t xml:space="preserve"> and </w:t>
      </w:r>
      <w:r>
        <w:t xml:space="preserve">Santos </w:t>
      </w:r>
      <w:r>
        <w:t>(</w:t>
      </w:r>
      <w:r>
        <w:t>2016</w:t>
      </w:r>
      <w:r>
        <w:t>) reveal that VW engineers had installed the same device that made them cheat. As a result, they later faced a penalty of $120,000. Therefore, the firm thought that the penalty would be lighter, and hence cheating was a good option. 
</w:t>
      </w:r>
    </w:p>
    <w:bookmarkStart w:id="4" w:name="_Toc56468081"/>
    <w:p>
      <w:pPr>
        <w:pStyle w:val="style2"/>
        <w:rPr>
          <w:rFonts w:ascii="Times New Roman" w:cs="Times New Roman" w:hAnsi="Times New Roman"/>
          <w:b/>
          <w:color w:val="auto"/>
          <w:sz w:val="24"/>
          <w:szCs w:val="24"/>
        </w:rPr>
      </w:pPr>
      <w:r>
        <w:rPr>
          <w:rFonts w:ascii="Times New Roman" w:cs="Times New Roman" w:hAnsi="Times New Roman"/>
          <w:b/>
          <w:color w:val="auto"/>
          <w:sz w:val="24"/>
          <w:szCs w:val="24"/>
        </w:rPr>
        <w:t>Question 2(a) Financial Statements</w:t>
      </w:r>
      <w:bookmarkEnd w:id="4"/>
    </w:p>
    <w:p>
      <w:pPr>
        <w:pStyle w:val="style0"/>
        <w:rPr/>
      </w:pPr>
      <w:r>
        <w:rPr>
          <w:b/>
        </w:rPr>
        <w:tab/>
      </w:r>
      <w:r>
        <w:t xml:space="preserve">The statement of profit or loss </w:t>
      </w:r>
      <w:r>
        <w:t>is defined</w:t>
      </w:r>
      <w:r>
        <w:t xml:space="preserve"> as </w:t>
      </w:r>
      <w:r>
        <w:t xml:space="preserve">a </w:t>
      </w:r>
      <w:r>
        <w:t>statement that displays the total income, total cost, total expenses</w:t>
      </w:r>
      <w:r>
        <w:t>,</w:t>
      </w:r>
      <w:r>
        <w:t xml:space="preserve"> and the net income of a company within a given period. Th</w:t>
      </w:r>
      <w:r>
        <w:t xml:space="preserve">e purpose </w:t>
      </w:r>
      <w:r>
        <w:t>is to show the performance of the business throughout each period. The statement of changes in equit</w:t>
      </w:r>
      <w:r>
        <w:t>y is a financial statement showing</w:t>
      </w:r>
      <w:r>
        <w:t xml:space="preserve"> the difference in the equity of the busines</w:t>
      </w:r>
      <w:r>
        <w:t>s owners over a certain period</w:t>
      </w:r>
      <w:r>
        <w:t xml:space="preserve">. </w:t>
      </w:r>
      <w:r>
        <w:t xml:space="preserve">The purpose is to offer essential information in equity reserves that </w:t>
      </w:r>
      <w:r>
        <w:t>are found</w:t>
      </w:r>
      <w:r>
        <w:t xml:space="preserve"> elsewhere in the financial statement. The balance sheet provides the company's financial position in terms of the company's assets, liabilities</w:t>
      </w:r>
      <w:r>
        <w:t>,</w:t>
      </w:r>
      <w:r>
        <w:t xml:space="preserve"> and shareholder</w:t>
      </w:r>
      <w:r>
        <w:t xml:space="preserve"> equity. It shows </w:t>
      </w:r>
      <w:r>
        <w:t>the criteria for computing returns and evaluating the capital structure of the firm. The cash flow statement measures how well a firm can generate cash to clear out debts, meet expenses</w:t>
      </w:r>
      <w:r>
        <w:t>,</w:t>
      </w:r>
      <w:r>
        <w:t xml:space="preserve"> and fund investments. The profit and loss statement differs from the cash flow</w:t>
      </w:r>
      <w:r>
        <w:t xml:space="preserve"> in that the former does not show every detail of the financial activities. These financial activities </w:t>
      </w:r>
      <w:r>
        <w:t>are not recorded</w:t>
      </w:r>
      <w:r>
        <w:t xml:space="preserve"> on </w:t>
      </w:r>
      <w:r>
        <w:t xml:space="preserve">the profit or loss statement. Instead, the transaction </w:t>
      </w:r>
      <w:r>
        <w:t>is</w:t>
      </w:r>
      <w:r>
        <w:t xml:space="preserve"> </w:t>
      </w:r>
      <w:r>
        <w:t>captured</w:t>
      </w:r>
      <w:r>
        <w:t xml:space="preserve"> on the cash flow statement. </w:t>
      </w:r>
    </w:p>
    <w:bookmarkStart w:id="5" w:name="_Toc56468082"/>
    <w:p>
      <w:pPr>
        <w:pStyle w:val="style2"/>
        <w:rPr>
          <w:rFonts w:ascii="Times New Roman" w:cs="Times New Roman" w:hAnsi="Times New Roman"/>
          <w:b/>
          <w:color w:val="auto"/>
          <w:sz w:val="24"/>
          <w:szCs w:val="24"/>
        </w:rPr>
      </w:pPr>
      <w:r>
        <w:rPr>
          <w:rFonts w:ascii="Times New Roman" w:cs="Times New Roman" w:hAnsi="Times New Roman"/>
          <w:b/>
          <w:color w:val="auto"/>
          <w:sz w:val="24"/>
          <w:szCs w:val="24"/>
        </w:rPr>
        <w:t>Question 2(b) Business Structure</w:t>
      </w:r>
      <w:bookmarkEnd w:id="5"/>
    </w:p>
    <w:p>
      <w:pPr>
        <w:pStyle w:val="style0"/>
        <w:rPr/>
      </w:pPr>
      <w:r>
        <w:rPr>
          <w:b/>
        </w:rPr>
        <w:tab/>
      </w:r>
      <w:r>
        <w:t>A s</w:t>
      </w:r>
      <w:r>
        <w:t>ole proprietorship is a form of business that Carolyn should consider since she contemplates starting the company independently. It involves j</w:t>
      </w:r>
      <w:r>
        <w:t xml:space="preserve">ust an individual who owns and operates the business. One advantage of </w:t>
      </w:r>
      <w:r>
        <w:t xml:space="preserve">a </w:t>
      </w:r>
      <w:r>
        <w:t>sole proprietorship is that it is effortless to form, and one has complete control over the entire company. However, the owner does not have a separate business entity from the business. The busines</w:t>
      </w:r>
      <w:r>
        <w:t xml:space="preserve">s is not different </w:t>
      </w:r>
      <w:r>
        <w:t xml:space="preserve">from the personal </w:t>
      </w:r>
      <w:r>
        <w:t xml:space="preserve">assets and liabilities; </w:t>
      </w:r>
      <w:r>
        <w:t xml:space="preserve">hence one </w:t>
      </w:r>
      <w:r>
        <w:t>can be held</w:t>
      </w:r>
      <w:r>
        <w:t xml:space="preserve"> responsible for any debt</w:t>
      </w:r>
      <w:r>
        <w:t xml:space="preserve"> (</w:t>
      </w:r>
      <w:r>
        <w:t>U.S Small Business Administration</w:t>
      </w:r>
      <w:r>
        <w:t>, 2020)</w:t>
      </w:r>
      <w:r>
        <w:t xml:space="preserve">. The second structure is </w:t>
      </w:r>
      <w:r>
        <w:t xml:space="preserve">a </w:t>
      </w:r>
      <w:r>
        <w:t xml:space="preserve">partnership. Carolyn can opt to adopt </w:t>
      </w:r>
      <w:r>
        <w:t xml:space="preserve">a </w:t>
      </w:r>
      <w:r>
        <w:t xml:space="preserve">general partnership with her best friend. One advantage of </w:t>
      </w:r>
      <w:r>
        <w:t xml:space="preserve">the </w:t>
      </w:r>
      <w:r>
        <w:t xml:space="preserve">general partnership is that one enjoys the tax treatment in that tax is on any profits or losses to the individual partners. However, </w:t>
      </w:r>
      <w:r>
        <w:t xml:space="preserve">a </w:t>
      </w:r>
      <w:r>
        <w:t xml:space="preserve">general partnership is more expensive to establish since it requires more legal and accounting services. </w:t>
      </w:r>
    </w:p>
    <w:bookmarkStart w:id="6" w:name="_Toc56468083"/>
    <w:p>
      <w:pPr>
        <w:pStyle w:val="style2"/>
        <w:rPr>
          <w:rFonts w:ascii="Times New Roman" w:cs="Times New Roman" w:hAnsi="Times New Roman"/>
          <w:b/>
          <w:color w:val="auto"/>
          <w:sz w:val="24"/>
          <w:szCs w:val="24"/>
        </w:rPr>
      </w:pPr>
      <w:r>
        <w:rPr>
          <w:rFonts w:ascii="Times New Roman" w:cs="Times New Roman" w:hAnsi="Times New Roman"/>
          <w:b/>
          <w:color w:val="auto"/>
          <w:sz w:val="24"/>
          <w:szCs w:val="24"/>
        </w:rPr>
        <w:t>Question 3</w:t>
      </w:r>
      <w:r>
        <w:rPr>
          <w:rFonts w:ascii="Times New Roman" w:cs="Times New Roman" w:hAnsi="Times New Roman"/>
          <w:b/>
          <w:color w:val="auto"/>
          <w:sz w:val="24"/>
          <w:szCs w:val="24"/>
        </w:rPr>
        <w:t xml:space="preserve">: </w:t>
      </w:r>
      <w:r>
        <w:rPr>
          <w:rFonts w:ascii="Times New Roman" w:cs="Times New Roman" w:hAnsi="Times New Roman"/>
          <w:b/>
          <w:color w:val="auto"/>
          <w:sz w:val="24"/>
          <w:szCs w:val="24"/>
        </w:rPr>
        <w:t>Errors in Financial Statement</w:t>
      </w:r>
      <w:bookmarkEnd w:id="6"/>
    </w:p>
    <w:p>
      <w:pPr>
        <w:pStyle w:val="style0"/>
        <w:rPr/>
      </w:pPr>
      <w:r>
        <w:rPr>
          <w:b/>
        </w:rPr>
        <w:tab/>
      </w:r>
      <w:r>
        <w:t xml:space="preserve">One of the errors that Stephen has committed is the error of principle. This is where one uses a transaction that incorrectly uses the accounting principle. </w:t>
      </w:r>
      <w:r>
        <w:t xml:space="preserve">The mistake of the principal fails to meet the Generally Accepted Accounting Principle (GAAP). This error </w:t>
      </w:r>
      <w:r>
        <w:t>is also known</w:t>
      </w:r>
      <w:r>
        <w:t xml:space="preserve"> as an “input error.” In the income statement of Stephen’s Delivery Service, Stephen recorded both owners’ equity and long-term bank loan in a wrong account. Owners’ equity </w:t>
      </w:r>
      <w:r>
        <w:t>belongs</w:t>
      </w:r>
      <w:r>
        <w:t xml:space="preserve"> to neither the revenues account nor the income statement. Similarly, the long-term bank loan does not belong in the expenses account and income statement. </w:t>
      </w:r>
      <w:r>
        <w:t xml:space="preserve">On the other hand, the balance sheet also has an error of principle where the charge payable should be the current liability and account receivable as a current asset. However, Stephen recorded them as an asset. </w:t>
      </w:r>
      <w:r>
        <w:t xml:space="preserve">As a result, Stephen can correct the error of principle by removing the two transactions from the income statement. This will conform to the generally accepted accounting practices guidelines. </w:t>
      </w:r>
      <w:r>
        <w:t xml:space="preserve">Secondly, Stephen committed the error of commission. The commission error </w:t>
      </w:r>
      <w:r>
        <w:t xml:space="preserve">is a mathematical mistake where the calculations </w:t>
      </w:r>
      <w:r>
        <w:t>are not done</w:t>
      </w:r>
      <w:r>
        <w:t xml:space="preserve"> well or where incorrect figures are placed in the statement. The calculation in the current liability sector </w:t>
      </w:r>
      <w:r>
        <w:t>is not correctly done</w:t>
      </w:r>
      <w:r>
        <w:t xml:space="preserve">. This </w:t>
      </w:r>
      <w:r>
        <w:t>could be corrected</w:t>
      </w:r>
      <w:r>
        <w:t xml:space="preserve"> by performing the correct measures. 
</w:t>
      </w:r>
    </w:p>
    <w:bookmarkStart w:id="7" w:name="_Toc56468084"/>
    <w:p>
      <w:pPr>
        <w:pStyle w:val="style2"/>
        <w:rPr>
          <w:rFonts w:ascii="Times New Roman" w:cs="Times New Roman" w:hAnsi="Times New Roman"/>
          <w:b/>
          <w:color w:val="auto"/>
          <w:sz w:val="24"/>
          <w:szCs w:val="24"/>
        </w:rPr>
      </w:pPr>
      <w:r>
        <w:rPr>
          <w:rFonts w:ascii="Times New Roman" w:cs="Times New Roman" w:hAnsi="Times New Roman"/>
          <w:b/>
          <w:color w:val="auto"/>
          <w:sz w:val="24"/>
          <w:szCs w:val="24"/>
        </w:rPr>
        <w:t>Question 4</w:t>
      </w:r>
      <w:r>
        <w:rPr>
          <w:rFonts w:ascii="Times New Roman" w:cs="Times New Roman" w:hAnsi="Times New Roman"/>
          <w:b/>
          <w:color w:val="auto"/>
          <w:sz w:val="24"/>
          <w:szCs w:val="24"/>
        </w:rPr>
        <w:t xml:space="preserve">: </w:t>
      </w:r>
      <w:r>
        <w:rPr>
          <w:rFonts w:ascii="Times New Roman" w:cs="Times New Roman" w:hAnsi="Times New Roman"/>
          <w:b/>
          <w:color w:val="auto"/>
          <w:sz w:val="24"/>
          <w:szCs w:val="24"/>
        </w:rPr>
        <w:t>Statement of Cashflow</w:t>
      </w:r>
      <w:bookmarkEnd w:id="7"/>
    </w:p>
    <w:p>
      <w:pPr>
        <w:pStyle w:val="style0"/>
        <w:rPr/>
      </w:pPr>
      <w:r>
        <w:tab/>
      </w:r>
      <w:r>
        <w:t>The cash flow from operation tells the investors more about the cash generation of a company. In this case, the cash flow from operation entailed the net income from customer sales, operating assets</w:t>
      </w:r>
      <w:r>
        <w:t>,</w:t>
      </w:r>
      <w:r>
        <w:t xml:space="preserve"> and liabilities. Additionally, from the cash</w:t>
      </w:r>
      <w:r>
        <w:t xml:space="preserve"> </w:t>
      </w:r>
      <w:r>
        <w:t xml:space="preserve">flow statement, the sales have been increasing. However, due to the Covid-19 pandemic in 2020, the sales are likely to reduce. The second section entails </w:t>
      </w:r>
      <w:r>
        <w:t xml:space="preserve">the </w:t>
      </w:r>
      <w:r>
        <w:t xml:space="preserve">cash flow that comes from investing. This is where the company invests </w:t>
      </w:r>
      <w:r>
        <w:t>in</w:t>
      </w:r>
      <w:r>
        <w:t xml:space="preserve"> capital expenditure for properties such as machinery and even the flow from </w:t>
      </w:r>
      <w:r>
        <w:t xml:space="preserve">assets' </w:t>
      </w:r>
      <w:r>
        <w:t xml:space="preserve">sale. However, the most crucial part is the capital expenditure since it shows whether a firm can invest. In this case, </w:t>
      </w:r>
      <w:r>
        <w:t>property, plant</w:t>
      </w:r>
      <w:r>
        <w:t>,</w:t>
      </w:r>
      <w:r>
        <w:t xml:space="preserve"> and equipment are the main capital expenditure. The third section is the cash flow from financing. This </w:t>
      </w:r>
      <w:r>
        <w:t>category</w:t>
      </w:r>
      <w:r>
        <w:t xml:space="preserve"> </w:t>
      </w:r>
      <w:r>
        <w:t>is dominated</w:t>
      </w:r>
      <w:r>
        <w:t xml:space="preserve"> by debt and equity. </w:t>
      </w:r>
      <w:r>
        <w:t xml:space="preserve">Investing in this company should not be a good option since as sales increases, the cash flow reduces. The net cash flow in 2018 was $ 314,337,000, </w:t>
      </w:r>
      <w:r>
        <w:t>with sales</w:t>
      </w:r>
      <w:r>
        <w:t xml:space="preserve"> of $2884573, while the net cash flow in 2019 was $278883, </w:t>
      </w:r>
      <w:r>
        <w:t>with sales</w:t>
      </w:r>
      <w:r>
        <w:t xml:space="preserve"> of $3127961. This shows that the two indicators do not move at a similar rate. As a result, the sales are bound to reduce drastically due to the effects </w:t>
      </w:r>
      <w:r>
        <w:t>o</w:t>
      </w:r>
      <w:r>
        <w:t xml:space="preserve">f </w:t>
      </w:r>
      <w:r>
        <w:t xml:space="preserve">the </w:t>
      </w:r>
      <w:r>
        <w:t xml:space="preserve">Covid-19 pandemic. Besides, the cash flow from operating activities is less than the sum cash flow from investment and financing, showing a decrease in cash flow. This poses a risk to investors since </w:t>
      </w:r>
      <w:r>
        <w:t xml:space="preserve">the company could make </w:t>
      </w:r>
      <w:r>
        <w:t xml:space="preserve">a </w:t>
      </w:r>
      <w:r>
        <w:t xml:space="preserve">loss in regular times. As a result, the investors should not invest in the company during this time of </w:t>
      </w:r>
      <w:r>
        <w:t xml:space="preserve">the </w:t>
      </w:r>
      <w:r>
        <w:t xml:space="preserve">pandemic. </w:t>
      </w:r>
    </w:p>
    <w:p>
      <w:pPr>
        <w:pStyle w:val="style0"/>
        <w:rPr/>
      </w:pPr>
      <w:r>
        <w:br w:type="page"/>
      </w:r>
    </w:p>
    <w:bookmarkStart w:id="8" w:name="_Toc56468085"/>
    <w:p>
      <w:pPr>
        <w:pStyle w:val="style1"/>
        <w:jc w:val="center"/>
        <w:rPr>
          <w:rFonts w:ascii="Times New Roman" w:cs="Times New Roman" w:hAnsi="Times New Roman"/>
          <w:b/>
          <w:color w:val="auto"/>
          <w:sz w:val="24"/>
          <w:szCs w:val="24"/>
        </w:rPr>
      </w:pPr>
      <w:r>
        <w:rPr>
          <w:rFonts w:ascii="Times New Roman" w:cs="Times New Roman" w:hAnsi="Times New Roman"/>
          <w:b/>
          <w:color w:val="auto"/>
          <w:sz w:val="24"/>
          <w:szCs w:val="24"/>
        </w:rPr>
        <w:t>References</w:t>
      </w:r>
      <w:bookmarkEnd w:id="8"/>
    </w:p>
    <w:p>
      <w:pPr>
        <w:pStyle w:val="style0"/>
        <w:ind w:left="720" w:hanging="720"/>
        <w:rPr/>
      </w:pPr>
      <w:r>
        <w:t>Baker, N. (2018, May 3). </w:t>
      </w:r>
      <w:r>
        <w:rPr>
          <w:i/>
          <w:iCs/>
        </w:rPr>
        <w:t>What is the Volkswagen '</w:t>
      </w:r>
      <w:r>
        <w:rPr>
          <w:i/>
          <w:iCs/>
        </w:rPr>
        <w:t>Dieselgate</w:t>
      </w:r>
      <w:r>
        <w:rPr>
          <w:i/>
          <w:iCs/>
        </w:rPr>
        <w:t>' emissions scandal?</w:t>
      </w:r>
      <w:r>
        <w:t> SBS News. </w:t>
      </w:r>
      <w:r>
        <w:rPr/>
        <w:fldChar w:fldCharType="begin"/>
      </w:r>
      <w:r>
        <w:instrText xml:space="preserve"> HYPERLINK "https://www.sbs.com.au/news/what-is-the-volkswagen-dieselgate-emissions-scandal" </w:instrText>
      </w:r>
      <w:r>
        <w:rPr/>
        <w:fldChar w:fldCharType="separate"/>
      </w:r>
      <w:r>
        <w:rPr>
          <w:rStyle w:val="style85"/>
        </w:rPr>
        <w:t>https://www.sbs.com.au/news/what-is-the-volkswagen-dieselgate-emissions-scandal</w:t>
      </w:r>
      <w:r>
        <w:rPr/>
        <w:fldChar w:fldCharType="end"/>
      </w:r>
    </w:p>
    <w:p>
      <w:pPr>
        <w:pStyle w:val="style0"/>
        <w:ind w:left="720" w:hanging="720"/>
        <w:rPr/>
      </w:pPr>
      <w:r>
        <w:t>Lynch, L. J., &amp; Santos, C. (2016, October 17). </w:t>
      </w:r>
      <w:r>
        <w:rPr>
          <w:i/>
          <w:iCs/>
        </w:rPr>
        <w:t xml:space="preserve">VW emissions and the </w:t>
      </w:r>
      <w:r>
        <w:rPr>
          <w:i/>
          <w:iCs/>
        </w:rPr>
        <w:t>three factors that drive ethical breakdown</w:t>
      </w:r>
      <w:r>
        <w:t>. Darden Ideas to Action. </w:t>
      </w:r>
      <w:r>
        <w:rPr/>
        <w:fldChar w:fldCharType="begin"/>
      </w:r>
      <w:r>
        <w:instrText xml:space="preserve"> HYPERLINK "https://ideas.darden.virginia.edu/vw-emissions-and-the-3-factors-that-drive-ethical-breakdown" </w:instrText>
      </w:r>
      <w:r>
        <w:rPr/>
        <w:fldChar w:fldCharType="separate"/>
      </w:r>
      <w:r>
        <w:rPr>
          <w:rStyle w:val="style85"/>
        </w:rPr>
        <w:t>https://ideas.darden.virginia.edu/vw-emissions-and-the-3-factors-that-drive-ethical-breakdown</w:t>
      </w:r>
      <w:r>
        <w:rPr/>
        <w:fldChar w:fldCharType="end"/>
      </w:r>
    </w:p>
    <w:p>
      <w:pPr>
        <w:pStyle w:val="style0"/>
        <w:ind w:left="720" w:hanging="720"/>
        <w:rPr/>
      </w:pPr>
      <w:r>
        <w:t xml:space="preserve">U.S Small Business Administration. (, 2020). </w:t>
      </w:r>
      <w:r>
        <w:rPr>
          <w:i/>
          <w:iCs/>
        </w:rPr>
        <w:t>Choose a business structure</w:t>
      </w:r>
      <w:r>
        <w:t>. Choose a business structure. </w:t>
      </w:r>
      <w:r>
        <w:rPr/>
        <w:fldChar w:fldCharType="begin"/>
      </w:r>
      <w:r>
        <w:instrText xml:space="preserve"> HYPERLINK "https://www.sba.gov/business-guide/launch-your-business/choose-business-structure" </w:instrText>
      </w:r>
      <w:r>
        <w:rPr/>
        <w:fldChar w:fldCharType="separate"/>
      </w:r>
      <w:r>
        <w:rPr>
          <w:rStyle w:val="style85"/>
        </w:rPr>
        <w:t>https://www.sba.gov/business-guide/launch-your-business/choose-business-structure</w:t>
      </w:r>
      <w:r>
        <w:rPr/>
        <w:fldChar w:fldCharType="end"/>
      </w:r>
    </w:p>
    <w:p>
      <w:pPr>
        <w:pStyle w:val="style0"/>
        <w:rPr/>
      </w:pPr>
    </w:p>
    <w:p>
      <w:pPr>
        <w:pStyle w:val="style0"/>
        <w:rPr/>
      </w:pPr>
    </w:p>
    <w:sectPr>
      <w:headerReference w:type="default" r:id="rId2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jc w:val="right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4</w:t>
    </w:r>
    <w:r>
      <w:rPr>
        <w:noProof/>
      </w:rPr>
      <w:fldChar w:fldCharType="end"/>
    </w:r>
  </w:p>
  <w:p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Calibri" w:hAnsi="Times New Roman"/>
        <w:sz w:val="24"/>
        <w:szCs w:val="24"/>
        <w:lang w:val="en-GB" w:bidi="ar-SA" w:eastAsia="en-US"/>
      </w:rPr>
    </w:rPrDefault>
    <w:pPrDefault>
      <w:pPr>
        <w:spacing w:lineRule="auto" w:line="480"/>
      </w:pPr>
    </w:pPrDefault>
  </w:docDefaults>
  <w:style w:type="paragraph" w:default="1" w:styleId="style0">
    <w:name w:val="Normal"/>
    <w:next w:val="style0"/>
    <w:qFormat/>
    <w:pPr/>
    <w:rPr>
      <w:lang w:val="en-US"/>
    </w:rPr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240"/>
      <w:outlineLvl w:val="0"/>
    </w:pPr>
    <w:rPr>
      <w:rFonts w:ascii="Cambria" w:cs="宋体" w:eastAsia="宋体" w:hAnsi="Cambria"/>
      <w:color w:val="365f91"/>
      <w:sz w:val="32"/>
      <w:szCs w:val="32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40"/>
      <w:outlineLvl w:val="1"/>
    </w:pPr>
    <w:rPr>
      <w:rFonts w:ascii="Cambria" w:cs="宋体" w:eastAsia="宋体" w:hAnsi="Cambria"/>
      <w:color w:val="365f91"/>
      <w:sz w:val="26"/>
      <w:szCs w:val="26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lineRule="auto" w:line="240"/>
    </w:pPr>
    <w:rPr/>
  </w:style>
  <w:style w:type="character" w:customStyle="1" w:styleId="style4097">
    <w:name w:val="Header Char_bb99f38f-6124-4607-93af-233b79245895"/>
    <w:basedOn w:val="style65"/>
    <w:next w:val="style4097"/>
    <w:link w:val="style31"/>
    <w:uiPriority w:val="99"/>
    <w:rPr>
      <w:lang w:val="en-US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lineRule="auto" w:line="240"/>
    </w:pPr>
    <w:rPr/>
  </w:style>
  <w:style w:type="character" w:customStyle="1" w:styleId="style4098">
    <w:name w:val="Footer Char_ade527ce-7289-4cc1-9157-e662e14084e0"/>
    <w:basedOn w:val="style65"/>
    <w:next w:val="style4098"/>
    <w:link w:val="style32"/>
    <w:uiPriority w:val="99"/>
    <w:rPr>
      <w:lang w:val="en-US"/>
    </w:rPr>
  </w:style>
  <w:style w:type="character" w:customStyle="1" w:styleId="style4099">
    <w:name w:val="Heading 1 Char_465bbaf9-4a38-48cf-8126-3e9b895fcba8"/>
    <w:basedOn w:val="style65"/>
    <w:next w:val="style4099"/>
    <w:link w:val="style1"/>
    <w:uiPriority w:val="9"/>
    <w:rPr>
      <w:rFonts w:ascii="Cambria" w:cs="宋体" w:eastAsia="宋体" w:hAnsi="Cambria"/>
      <w:color w:val="365f91"/>
      <w:sz w:val="32"/>
      <w:szCs w:val="32"/>
      <w:lang w:val="en-US"/>
    </w:rPr>
  </w:style>
  <w:style w:type="character" w:customStyle="1" w:styleId="style4100">
    <w:name w:val="Heading 2 Char_655851c6-ed07-4f32-bb1d-bcc1b4980fa4"/>
    <w:basedOn w:val="style65"/>
    <w:next w:val="style4100"/>
    <w:link w:val="style2"/>
    <w:uiPriority w:val="9"/>
    <w:rPr>
      <w:rFonts w:ascii="Cambria" w:cs="宋体" w:eastAsia="宋体" w:hAnsi="Cambria"/>
      <w:color w:val="365f91"/>
      <w:sz w:val="26"/>
      <w:szCs w:val="26"/>
      <w:lang w:val="en-US"/>
    </w:rPr>
  </w:style>
  <w:style w:type="paragraph" w:styleId="style266">
    <w:name w:val="TOC Heading"/>
    <w:basedOn w:val="style1"/>
    <w:next w:val="style0"/>
    <w:qFormat/>
    <w:uiPriority w:val="39"/>
    <w:pPr>
      <w:spacing w:lineRule="auto" w:line="259"/>
      <w:outlineLvl w:val="9"/>
    </w:pPr>
    <w:rPr/>
  </w:style>
  <w:style w:type="paragraph" w:styleId="style19">
    <w:name w:val="toc 1"/>
    <w:basedOn w:val="style0"/>
    <w:next w:val="style0"/>
    <w:uiPriority w:val="39"/>
    <w:pPr>
      <w:spacing w:after="100"/>
    </w:pPr>
    <w:rPr/>
  </w:style>
  <w:style w:type="paragraph" w:styleId="style20">
    <w:name w:val="toc 2"/>
    <w:basedOn w:val="style0"/>
    <w:next w:val="style0"/>
    <w:uiPriority w:val="39"/>
    <w:pPr>
      <w:spacing w:after="100"/>
      <w:ind w:left="24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F8EAC-A418-4290-B70A-371CE187A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1372</Words>
  <Pages>7</Pages>
  <Characters>7464</Characters>
  <Application>WPS Office</Application>
  <DocSecurity>0</DocSecurity>
  <Paragraphs>53</Paragraphs>
  <ScaleCrop>false</ScaleCrop>
  <LinksUpToDate>false</LinksUpToDate>
  <CharactersWithSpaces>8813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2020-11-17T01:26:35Z</dcterms:created>
  <dc:creator>admin</dc:creator>
  <lastModifiedBy>Infinix X650D</lastModifiedBy>
  <dcterms:modified xsi:type="dcterms:W3CDTF">2020-11-17T01:26:35Z</dcterms:modified>
  <revision>18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