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D088" w14:textId="59FED7E7" w:rsidR="00822469" w:rsidRDefault="00417058">
      <w:r>
        <w:t>RONALD</w:t>
      </w:r>
    </w:p>
    <w:p w14:paraId="4D836D8B" w14:textId="77777777" w:rsidR="00417058" w:rsidRDefault="00417058" w:rsidP="00417058">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There seems to be a split in assessing individuals for selection in employment and promotion within organizations says Murphy (2010).  Some have traditionally favored the method that is based on their abilities as compared with the responsibilities of the job.  This method of favoring the ability domain has seen instruments like O*Net (Occupational Information Network; Peterson et al., 1999) and the Great Eight Competency Model (Bartram, 2005).  The other side of the split is based on cognition and personality.  Some have chosen to focus exclusively on either cognition or personality, while others have thought to combine them to limit their shortcomings.  The tools used in this method of measurement focus on either cognitive abilities or inherent personality traits that allow the individual to not only perform the given tasks but to adapt to change.</w:t>
      </w:r>
    </w:p>
    <w:p w14:paraId="460E404B" w14:textId="77777777" w:rsidR="00417058" w:rsidRDefault="00417058" w:rsidP="00417058">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I am quite familiar with leadership succession plans as a veteran of both the military and retail management.  The military service focuses on a rigid system of assigned rank that is typically a product of age, experience, and task-oriented ability.  The structure here is so rigid that in some circumstances, the next in succession could be determined by the date of promotion to the last rank.  For example, a First Sergeant leaves, and one of the platoon sergeants will step up and replace him.  Three platoon sergeants hold the Sergeant First Class (E-7) rank.  One has been an E-7 for just six months, another for eighteen months, and the third for twenty-six months.  The one that was promoted first (twenty-six months ago) will advance to the acting First Sergeant role.</w:t>
      </w:r>
    </w:p>
    <w:p w14:paraId="2BC54C12" w14:textId="77777777" w:rsidR="00417058" w:rsidRDefault="00417058" w:rsidP="00417058">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As a retail manager, succession was usually determined by cognitive and personality factors.  An old adage in the retail industry is that a good manager can work anywhere, he can learn about the product or service that is offered.  A great employee may not be able to say the same.  A person may be great at selling widgets for company A, but that does not qualify him to be a manager or even to sell doohickeys for company X.  His skill set maybe just to sell widgets.  This aligns more closely with the domains of cognition and personality.</w:t>
      </w:r>
    </w:p>
    <w:p w14:paraId="4B042BAD" w14:textId="77777777" w:rsidR="00417058" w:rsidRDefault="00417058" w:rsidP="00417058">
      <w:pPr>
        <w:pStyle w:val="NormalWeb"/>
        <w:shd w:val="clear" w:color="auto" w:fill="FFFFFF"/>
        <w:spacing w:before="180" w:beforeAutospacing="0" w:after="0" w:afterAutospacing="0"/>
        <w:rPr>
          <w:rFonts w:ascii="Helvetica" w:hAnsi="Helvetica" w:cs="Helvetica"/>
          <w:color w:val="3D494C"/>
        </w:rPr>
      </w:pPr>
      <w:proofErr w:type="spellStart"/>
      <w:r>
        <w:rPr>
          <w:rFonts w:ascii="Helvetica" w:hAnsi="Helvetica" w:cs="Helvetica"/>
          <w:color w:val="3D494C"/>
        </w:rPr>
        <w:t>Paese</w:t>
      </w:r>
      <w:proofErr w:type="spellEnd"/>
      <w:r>
        <w:rPr>
          <w:rFonts w:ascii="Helvetica" w:hAnsi="Helvetica" w:cs="Helvetica"/>
          <w:color w:val="3D494C"/>
        </w:rPr>
        <w:t xml:space="preserve"> (2010) discusses leadership potential in an organization that needs to be discovered and nurtured. This was true in many retail organizations that I was employed at and I will explain a great example.  I worked for Shoe Carnival for a couple of years back in the late 1990s.  They had a plan for management development called MDP (Management Development Plan).  While some parts were focused on specific tasks such as reading and understanding a profit and loss statement, many sections were meant to develop leadership qualities and judgment using hypothetical role-playing.</w:t>
      </w:r>
    </w:p>
    <w:p w14:paraId="7A0C5D37" w14:textId="77777777" w:rsidR="00417058" w:rsidRDefault="00417058" w:rsidP="00417058">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 xml:space="preserve">It is also worth noting, my own personal development was enhanced by managers that provided me opportunities to learn how to manage without micromanaging.  As I progressed and moved into leadership roles in other chains, I repeated this process.  I often taught employees skills that were beyond their paygrade.  The point of which was not the activity, if I assigned it to </w:t>
      </w:r>
      <w:proofErr w:type="gramStart"/>
      <w:r>
        <w:rPr>
          <w:rFonts w:ascii="Helvetica" w:hAnsi="Helvetica" w:cs="Helvetica"/>
          <w:color w:val="3D494C"/>
        </w:rPr>
        <w:t>them</w:t>
      </w:r>
      <w:proofErr w:type="gramEnd"/>
      <w:r>
        <w:rPr>
          <w:rFonts w:ascii="Helvetica" w:hAnsi="Helvetica" w:cs="Helvetica"/>
          <w:color w:val="3D494C"/>
        </w:rPr>
        <w:t xml:space="preserve"> it was for a reason.  The outcomes were about growing and making decisions as a leader.  And as a good leader, I learned that if they succeeded, I gave them the credit, and if they </w:t>
      </w:r>
      <w:proofErr w:type="gramStart"/>
      <w:r>
        <w:rPr>
          <w:rFonts w:ascii="Helvetica" w:hAnsi="Helvetica" w:cs="Helvetica"/>
          <w:color w:val="3D494C"/>
        </w:rPr>
        <w:t>failed</w:t>
      </w:r>
      <w:proofErr w:type="gramEnd"/>
      <w:r>
        <w:rPr>
          <w:rFonts w:ascii="Helvetica" w:hAnsi="Helvetica" w:cs="Helvetica"/>
          <w:color w:val="3D494C"/>
        </w:rPr>
        <w:t xml:space="preserve"> I took the blame.  This is an example of a personality or cognition trait used to show good leadership.</w:t>
      </w:r>
    </w:p>
    <w:p w14:paraId="47611139" w14:textId="77777777" w:rsidR="00417058" w:rsidRDefault="00417058" w:rsidP="00417058">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lastRenderedPageBreak/>
        <w:t>Ron</w:t>
      </w:r>
    </w:p>
    <w:p w14:paraId="71DE967D" w14:textId="77777777" w:rsidR="00417058" w:rsidRDefault="00417058" w:rsidP="00417058">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Reference</w:t>
      </w:r>
    </w:p>
    <w:p w14:paraId="03403100" w14:textId="77777777" w:rsidR="00417058" w:rsidRDefault="00417058" w:rsidP="00417058">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Scott, J. C. &amp; Reynolds, D. H. (Eds.). (2010). </w:t>
      </w:r>
      <w:r>
        <w:rPr>
          <w:rFonts w:ascii="Helvetica" w:hAnsi="Helvetica" w:cs="Helvetica"/>
          <w:i/>
          <w:iCs/>
          <w:color w:val="3D494C"/>
        </w:rPr>
        <w:t>Handbook of workplace assessment</w:t>
      </w:r>
      <w:r>
        <w:rPr>
          <w:rFonts w:ascii="Helvetica" w:hAnsi="Helvetica" w:cs="Helvetica"/>
          <w:color w:val="3D494C"/>
        </w:rPr>
        <w:t>. Retrieved from https://redshelf.com</w:t>
      </w:r>
    </w:p>
    <w:p w14:paraId="20ADABEF" w14:textId="50A47C94" w:rsidR="00417058" w:rsidRDefault="00417058"/>
    <w:p w14:paraId="514C20B8" w14:textId="70901359" w:rsidR="00417058" w:rsidRDefault="00417058"/>
    <w:p w14:paraId="62433BBC" w14:textId="490499D3" w:rsidR="00417058" w:rsidRDefault="00417058">
      <w:r>
        <w:t>BRIAN</w:t>
      </w:r>
    </w:p>
    <w:p w14:paraId="1A82AD1C"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DOMAIN STUDIED</w:t>
      </w:r>
    </w:p>
    <w:p w14:paraId="2237C47F"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xml:space="preserve">          Work oriented assessments are used by businesses in order to evaluate work interest or skills and experience of current and potential employees. Some of the methods they use to do this include the Holland RAIASEC model which places vocational preferences; " </w:t>
      </w:r>
      <w:proofErr w:type="gramStart"/>
      <w:r w:rsidRPr="00417058">
        <w:rPr>
          <w:rFonts w:ascii="Helvetica" w:eastAsia="Times New Roman" w:hAnsi="Helvetica" w:cs="Helvetica"/>
          <w:color w:val="3D494C"/>
          <w:sz w:val="24"/>
          <w:szCs w:val="24"/>
        </w:rPr>
        <w:t>realistic  (</w:t>
      </w:r>
      <w:proofErr w:type="gramEnd"/>
      <w:r w:rsidRPr="00417058">
        <w:rPr>
          <w:rFonts w:ascii="Helvetica" w:eastAsia="Times New Roman" w:hAnsi="Helvetica" w:cs="Helvetica"/>
          <w:color w:val="3D494C"/>
          <w:sz w:val="24"/>
          <w:szCs w:val="24"/>
        </w:rPr>
        <w:t>interest  in  things),  investigative  (interest  in  ideas),  artistic  (interest  in  creating),  social   (interest   in   people),   enterprising   (interest   in   getting   ahead),  and  conventional  (interest  in  order  and  predictability) " (Murphy, 2010) in a hexagon. They are placed in proximity of which ones more closely occur as opposed to ones that do not which are further apart on the hexagon.</w:t>
      </w:r>
    </w:p>
    <w:p w14:paraId="5079EDE3"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xml:space="preserve">          The Theory of Work Adjustment by </w:t>
      </w:r>
      <w:proofErr w:type="spellStart"/>
      <w:r w:rsidRPr="00417058">
        <w:rPr>
          <w:rFonts w:ascii="Helvetica" w:eastAsia="Times New Roman" w:hAnsi="Helvetica" w:cs="Helvetica"/>
          <w:color w:val="3D494C"/>
          <w:sz w:val="24"/>
          <w:szCs w:val="24"/>
        </w:rPr>
        <w:t>Lofquist</w:t>
      </w:r>
      <w:proofErr w:type="spellEnd"/>
      <w:r w:rsidRPr="00417058">
        <w:rPr>
          <w:rFonts w:ascii="Helvetica" w:eastAsia="Times New Roman" w:hAnsi="Helvetica" w:cs="Helvetica"/>
          <w:color w:val="3D494C"/>
          <w:sz w:val="24"/>
          <w:szCs w:val="24"/>
        </w:rPr>
        <w:t xml:space="preserve"> and </w:t>
      </w:r>
      <w:proofErr w:type="spellStart"/>
      <w:r w:rsidRPr="00417058">
        <w:rPr>
          <w:rFonts w:ascii="Helvetica" w:eastAsia="Times New Roman" w:hAnsi="Helvetica" w:cs="Helvetica"/>
          <w:color w:val="3D494C"/>
          <w:sz w:val="24"/>
          <w:szCs w:val="24"/>
        </w:rPr>
        <w:t>Dawis</w:t>
      </w:r>
      <w:proofErr w:type="spellEnd"/>
      <w:r w:rsidRPr="00417058">
        <w:rPr>
          <w:rFonts w:ascii="Helvetica" w:eastAsia="Times New Roman" w:hAnsi="Helvetica" w:cs="Helvetica"/>
          <w:color w:val="3D494C"/>
          <w:sz w:val="24"/>
          <w:szCs w:val="24"/>
        </w:rPr>
        <w:t xml:space="preserve"> in 1969 is one of the “</w:t>
      </w:r>
      <w:proofErr w:type="gramStart"/>
      <w:r w:rsidRPr="00417058">
        <w:rPr>
          <w:rFonts w:ascii="Helvetica" w:eastAsia="Times New Roman" w:hAnsi="Helvetica" w:cs="Helvetica"/>
          <w:color w:val="3D494C"/>
          <w:sz w:val="24"/>
          <w:szCs w:val="24"/>
        </w:rPr>
        <w:t xml:space="preserve">most  </w:t>
      </w:r>
      <w:proofErr w:type="spellStart"/>
      <w:r w:rsidRPr="00417058">
        <w:rPr>
          <w:rFonts w:ascii="Helvetica" w:eastAsia="Times New Roman" w:hAnsi="Helvetica" w:cs="Helvetica"/>
          <w:color w:val="3D494C"/>
          <w:sz w:val="24"/>
          <w:szCs w:val="24"/>
        </w:rPr>
        <w:t>comprehen</w:t>
      </w:r>
      <w:proofErr w:type="gramEnd"/>
      <w:r w:rsidRPr="00417058">
        <w:rPr>
          <w:rFonts w:ascii="Helvetica" w:eastAsia="Times New Roman" w:hAnsi="Helvetica" w:cs="Helvetica"/>
          <w:color w:val="3D494C"/>
          <w:sz w:val="24"/>
          <w:szCs w:val="24"/>
        </w:rPr>
        <w:t>-sive</w:t>
      </w:r>
      <w:proofErr w:type="spellEnd"/>
      <w:r w:rsidRPr="00417058">
        <w:rPr>
          <w:rFonts w:ascii="Helvetica" w:eastAsia="Times New Roman" w:hAnsi="Helvetica" w:cs="Helvetica"/>
          <w:color w:val="3D494C"/>
          <w:sz w:val="24"/>
          <w:szCs w:val="24"/>
        </w:rPr>
        <w:t xml:space="preserve"> and influential model of fit” (Murphy, 2010 p 20). This tool allows assessors to look at what the workers needs and interests are and evaluates how closely the job in question comes to meeting those. It also works to match skill sets with skills required for success on the job. O*NET (Murphy, 2010) is another assessment tool that adapts these same concepts for analysis.</w:t>
      </w:r>
    </w:p>
    <w:p w14:paraId="70A80EAE"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IMPLICATIONS</w:t>
      </w:r>
    </w:p>
    <w:p w14:paraId="7A4814A8"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One of the concerns with using work experience, skills assessments/competencies is that another person must look them over and infer what they can from the data. This makes the results reliant of subjectivity (Murphy, 2010) and can lead to over emphasis on some areas, neglect on others which might compromise the information sought to determine fit between job and person. Assessing interest and values also does not lend itself to predicting performance accurately but does have correlations with things like burnout, retention and job satisfaction (Murphy, 2010).</w:t>
      </w:r>
    </w:p>
    <w:p w14:paraId="3A4D5D27"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DOMAINS STUDIED</w:t>
      </w:r>
    </w:p>
    <w:p w14:paraId="44FB7F34"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xml:space="preserve">          People oriented factors studied and recorded by businesses for hiring and development include cognitive and personality tests (Murphy, 2010). Personality tests such as the Big Five Model assess components of personality such as “agreeableness, extraversion, neuroticism and emotional stability, conscientiousness, and openness to experience (Baez, 2013)” (Smith </w:t>
      </w:r>
      <w:proofErr w:type="spellStart"/>
      <w:r w:rsidRPr="00417058">
        <w:rPr>
          <w:rFonts w:ascii="Helvetica" w:eastAsia="Times New Roman" w:hAnsi="Helvetica" w:cs="Helvetica"/>
          <w:color w:val="3D494C"/>
          <w:sz w:val="24"/>
          <w:szCs w:val="24"/>
        </w:rPr>
        <w:t>Badr</w:t>
      </w:r>
      <w:proofErr w:type="spellEnd"/>
      <w:r w:rsidRPr="00417058">
        <w:rPr>
          <w:rFonts w:ascii="Helvetica" w:eastAsia="Times New Roman" w:hAnsi="Helvetica" w:cs="Helvetica"/>
          <w:color w:val="3D494C"/>
          <w:sz w:val="24"/>
          <w:szCs w:val="24"/>
        </w:rPr>
        <w:t xml:space="preserve"> &amp;Wall, 2018).  These traits have been shown to positively reflect some performance related categories that employers like to see such </w:t>
      </w:r>
      <w:r w:rsidRPr="00417058">
        <w:rPr>
          <w:rFonts w:ascii="Helvetica" w:eastAsia="Times New Roman" w:hAnsi="Helvetica" w:cs="Helvetica"/>
          <w:color w:val="3D494C"/>
          <w:sz w:val="24"/>
          <w:szCs w:val="24"/>
        </w:rPr>
        <w:lastRenderedPageBreak/>
        <w:t xml:space="preserve">as low turnover, satisfaction with work and environment and higher motivation and buy-in (Smith </w:t>
      </w:r>
      <w:proofErr w:type="spellStart"/>
      <w:r w:rsidRPr="00417058">
        <w:rPr>
          <w:rFonts w:ascii="Helvetica" w:eastAsia="Times New Roman" w:hAnsi="Helvetica" w:cs="Helvetica"/>
          <w:color w:val="3D494C"/>
          <w:sz w:val="24"/>
          <w:szCs w:val="24"/>
        </w:rPr>
        <w:t>Badr</w:t>
      </w:r>
      <w:proofErr w:type="spellEnd"/>
      <w:r w:rsidRPr="00417058">
        <w:rPr>
          <w:rFonts w:ascii="Helvetica" w:eastAsia="Times New Roman" w:hAnsi="Helvetica" w:cs="Helvetica"/>
          <w:color w:val="3D494C"/>
          <w:sz w:val="24"/>
          <w:szCs w:val="24"/>
        </w:rPr>
        <w:t xml:space="preserve"> &amp;Wall, 2018).  </w:t>
      </w:r>
    </w:p>
    <w:p w14:paraId="7F4BC627"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IMPLICATIONS</w:t>
      </w:r>
    </w:p>
    <w:p w14:paraId="18FDC553"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xml:space="preserve">          Personality testing comes with concerns for businesses that use them for employee selection. There could be legal issues; such as violating people’s rights against discrimination, concerns over ethics and what the companies do with the data they collect (Smith </w:t>
      </w:r>
      <w:proofErr w:type="spellStart"/>
      <w:r w:rsidRPr="00417058">
        <w:rPr>
          <w:rFonts w:ascii="Helvetica" w:eastAsia="Times New Roman" w:hAnsi="Helvetica" w:cs="Helvetica"/>
          <w:color w:val="3D494C"/>
          <w:sz w:val="24"/>
          <w:szCs w:val="24"/>
        </w:rPr>
        <w:t>Badr</w:t>
      </w:r>
      <w:proofErr w:type="spellEnd"/>
      <w:r w:rsidRPr="00417058">
        <w:rPr>
          <w:rFonts w:ascii="Helvetica" w:eastAsia="Times New Roman" w:hAnsi="Helvetica" w:cs="Helvetica"/>
          <w:color w:val="3D494C"/>
          <w:sz w:val="24"/>
          <w:szCs w:val="24"/>
        </w:rPr>
        <w:t xml:space="preserve"> &amp;Wall, 2018). For example, they might sell their big databases of information generated, even of people they did not hire. it might get lost or pirated, then there would be legal consequences potentially because the law hasn’t caught up with technology yet (Smith </w:t>
      </w:r>
      <w:proofErr w:type="spellStart"/>
      <w:r w:rsidRPr="00417058">
        <w:rPr>
          <w:rFonts w:ascii="Helvetica" w:eastAsia="Times New Roman" w:hAnsi="Helvetica" w:cs="Helvetica"/>
          <w:color w:val="3D494C"/>
          <w:sz w:val="24"/>
          <w:szCs w:val="24"/>
        </w:rPr>
        <w:t>Badr</w:t>
      </w:r>
      <w:proofErr w:type="spellEnd"/>
      <w:r w:rsidRPr="00417058">
        <w:rPr>
          <w:rFonts w:ascii="Helvetica" w:eastAsia="Times New Roman" w:hAnsi="Helvetica" w:cs="Helvetica"/>
          <w:color w:val="3D494C"/>
          <w:sz w:val="24"/>
          <w:szCs w:val="24"/>
        </w:rPr>
        <w:t xml:space="preserve"> &amp;Wall, 2018).  Misuse and distribution of this kind of information might impact people’s lives, civil rights and privacy.  </w:t>
      </w:r>
    </w:p>
    <w:p w14:paraId="5A87BE11"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w:t>
      </w:r>
    </w:p>
    <w:p w14:paraId="249385DE" w14:textId="77777777" w:rsidR="00417058" w:rsidRPr="00417058" w:rsidRDefault="00417058" w:rsidP="00417058">
      <w:pPr>
        <w:shd w:val="clear" w:color="auto" w:fill="FFFFFF"/>
        <w:spacing w:before="180" w:after="18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References</w:t>
      </w:r>
    </w:p>
    <w:p w14:paraId="4A835A82" w14:textId="77777777" w:rsidR="00417058" w:rsidRPr="00417058" w:rsidRDefault="00417058" w:rsidP="00417058">
      <w:pPr>
        <w:shd w:val="clear" w:color="auto" w:fill="FFFFFF"/>
        <w:spacing w:after="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Scott, J. C. &amp; Reynolds, D. H. (Eds.). (2010). </w:t>
      </w:r>
      <w:r w:rsidRPr="00417058">
        <w:rPr>
          <w:rFonts w:ascii="Helvetica" w:eastAsia="Times New Roman" w:hAnsi="Helvetica" w:cs="Helvetica"/>
          <w:i/>
          <w:iCs/>
          <w:color w:val="3D494C"/>
          <w:sz w:val="24"/>
          <w:szCs w:val="24"/>
        </w:rPr>
        <w:t>Handbook of workplace assessment</w:t>
      </w:r>
      <w:r w:rsidRPr="00417058">
        <w:rPr>
          <w:rFonts w:ascii="Helvetica" w:eastAsia="Times New Roman" w:hAnsi="Helvetica" w:cs="Helvetica"/>
          <w:color w:val="3D494C"/>
          <w:sz w:val="24"/>
          <w:szCs w:val="24"/>
        </w:rPr>
        <w:t>. Retrieved from </w:t>
      </w:r>
      <w:hyperlink r:id="rId4" w:tgtFrame="_blank" w:history="1">
        <w:r w:rsidRPr="00417058">
          <w:rPr>
            <w:rFonts w:ascii="Helvetica" w:eastAsia="Times New Roman" w:hAnsi="Helvetica" w:cs="Helvetica"/>
            <w:color w:val="0000FF"/>
            <w:sz w:val="24"/>
            <w:szCs w:val="24"/>
            <w:u w:val="single"/>
          </w:rPr>
          <w:t>https://redshelf.com</w:t>
        </w:r>
        <w:r w:rsidRPr="00417058">
          <w:rPr>
            <w:rFonts w:ascii="Helvetica" w:eastAsia="Times New Roman" w:hAnsi="Helvetica" w:cs="Helvetica"/>
            <w:color w:val="0000FF"/>
            <w:sz w:val="24"/>
            <w:szCs w:val="24"/>
            <w:u w:val="single"/>
            <w:bdr w:val="none" w:sz="0" w:space="0" w:color="auto" w:frame="1"/>
          </w:rPr>
          <w:t> (Links to an external site.)</w:t>
        </w:r>
      </w:hyperlink>
    </w:p>
    <w:p w14:paraId="2C34044B" w14:textId="77777777" w:rsidR="00417058" w:rsidRPr="00417058" w:rsidRDefault="00417058" w:rsidP="00417058">
      <w:pPr>
        <w:shd w:val="clear" w:color="auto" w:fill="FFFFFF"/>
        <w:spacing w:before="180" w:after="0" w:line="240" w:lineRule="auto"/>
        <w:rPr>
          <w:rFonts w:ascii="Helvetica" w:eastAsia="Times New Roman" w:hAnsi="Helvetica" w:cs="Helvetica"/>
          <w:color w:val="3D494C"/>
          <w:sz w:val="24"/>
          <w:szCs w:val="24"/>
        </w:rPr>
      </w:pPr>
      <w:r w:rsidRPr="00417058">
        <w:rPr>
          <w:rFonts w:ascii="Helvetica" w:eastAsia="Times New Roman" w:hAnsi="Helvetica" w:cs="Helvetica"/>
          <w:color w:val="3D494C"/>
          <w:sz w:val="24"/>
          <w:szCs w:val="24"/>
        </w:rPr>
        <w:t xml:space="preserve">Smith, R. A., </w:t>
      </w:r>
      <w:proofErr w:type="spellStart"/>
      <w:r w:rsidRPr="00417058">
        <w:rPr>
          <w:rFonts w:ascii="Helvetica" w:eastAsia="Times New Roman" w:hAnsi="Helvetica" w:cs="Helvetica"/>
          <w:color w:val="3D494C"/>
          <w:sz w:val="24"/>
          <w:szCs w:val="24"/>
        </w:rPr>
        <w:t>Badr</w:t>
      </w:r>
      <w:proofErr w:type="spellEnd"/>
      <w:r w:rsidRPr="00417058">
        <w:rPr>
          <w:rFonts w:ascii="Helvetica" w:eastAsia="Times New Roman" w:hAnsi="Helvetica" w:cs="Helvetica"/>
          <w:color w:val="3D494C"/>
          <w:sz w:val="24"/>
          <w:szCs w:val="24"/>
        </w:rPr>
        <w:t>, K. S., &amp; Wall, A. E. (2018). Personality Testing by Employers: Balancing the Need for Qualified Workers with Individual                    Rights. </w:t>
      </w:r>
      <w:r w:rsidRPr="00417058">
        <w:rPr>
          <w:rFonts w:ascii="Helvetica" w:eastAsia="Times New Roman" w:hAnsi="Helvetica" w:cs="Helvetica"/>
          <w:i/>
          <w:iCs/>
          <w:color w:val="3D494C"/>
          <w:sz w:val="24"/>
          <w:szCs w:val="24"/>
        </w:rPr>
        <w:t>Competition Forum</w:t>
      </w:r>
      <w:r w:rsidRPr="00417058">
        <w:rPr>
          <w:rFonts w:ascii="Helvetica" w:eastAsia="Times New Roman" w:hAnsi="Helvetica" w:cs="Helvetica"/>
          <w:color w:val="3D494C"/>
          <w:sz w:val="24"/>
          <w:szCs w:val="24"/>
        </w:rPr>
        <w:t>, </w:t>
      </w:r>
      <w:r w:rsidRPr="00417058">
        <w:rPr>
          <w:rFonts w:ascii="Helvetica" w:eastAsia="Times New Roman" w:hAnsi="Helvetica" w:cs="Helvetica"/>
          <w:i/>
          <w:iCs/>
          <w:color w:val="3D494C"/>
          <w:sz w:val="24"/>
          <w:szCs w:val="24"/>
        </w:rPr>
        <w:t>16</w:t>
      </w:r>
      <w:r w:rsidRPr="00417058">
        <w:rPr>
          <w:rFonts w:ascii="Helvetica" w:eastAsia="Times New Roman" w:hAnsi="Helvetica" w:cs="Helvetica"/>
          <w:color w:val="3D494C"/>
          <w:sz w:val="24"/>
          <w:szCs w:val="24"/>
        </w:rPr>
        <w:t>(2), 76–82.</w:t>
      </w:r>
    </w:p>
    <w:p w14:paraId="62958DA2" w14:textId="77777777" w:rsidR="00417058" w:rsidRPr="00417058" w:rsidRDefault="00417058" w:rsidP="00417058">
      <w:pPr>
        <w:shd w:val="clear" w:color="auto" w:fill="FFFFFF"/>
        <w:spacing w:after="0" w:line="240" w:lineRule="auto"/>
        <w:rPr>
          <w:rFonts w:ascii="Helvetica" w:eastAsia="Times New Roman" w:hAnsi="Helvetica" w:cs="Helvetica"/>
          <w:color w:val="3D494C"/>
          <w:sz w:val="24"/>
          <w:szCs w:val="24"/>
        </w:rPr>
      </w:pPr>
      <w:hyperlink r:id="rId5" w:history="1">
        <w:r w:rsidRPr="00417058">
          <w:rPr>
            <w:rFonts w:ascii="Helvetica" w:eastAsia="Times New Roman" w:hAnsi="Helvetica" w:cs="Helvetica"/>
            <w:color w:val="0000FF"/>
            <w:sz w:val="24"/>
            <w:szCs w:val="24"/>
            <w:u w:val="single"/>
          </w:rPr>
          <w:t> Reply</w:t>
        </w:r>
      </w:hyperlink>
    </w:p>
    <w:p w14:paraId="508E0AA5" w14:textId="77777777" w:rsidR="00417058" w:rsidRDefault="00417058"/>
    <w:sectPr w:rsidR="00417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58"/>
    <w:rsid w:val="00417058"/>
    <w:rsid w:val="0082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A878"/>
  <w15:chartTrackingRefBased/>
  <w15:docId w15:val="{9C456810-7F55-4C61-80FA-40B1699C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70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77565">
      <w:bodyDiv w:val="1"/>
      <w:marLeft w:val="0"/>
      <w:marRight w:val="0"/>
      <w:marTop w:val="0"/>
      <w:marBottom w:val="0"/>
      <w:divBdr>
        <w:top w:val="none" w:sz="0" w:space="0" w:color="auto"/>
        <w:left w:val="none" w:sz="0" w:space="0" w:color="auto"/>
        <w:bottom w:val="none" w:sz="0" w:space="0" w:color="auto"/>
        <w:right w:val="none" w:sz="0" w:space="0" w:color="auto"/>
      </w:divBdr>
      <w:divsChild>
        <w:div w:id="1828933278">
          <w:marLeft w:val="0"/>
          <w:marRight w:val="0"/>
          <w:marTop w:val="0"/>
          <w:marBottom w:val="0"/>
          <w:divBdr>
            <w:top w:val="none" w:sz="0" w:space="0" w:color="auto"/>
            <w:left w:val="none" w:sz="0" w:space="0" w:color="auto"/>
            <w:bottom w:val="none" w:sz="0" w:space="0" w:color="auto"/>
            <w:right w:val="none" w:sz="0" w:space="0" w:color="auto"/>
          </w:divBdr>
        </w:div>
      </w:divsChild>
    </w:div>
    <w:div w:id="50163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shford.instructure.com/courses/89237/discussion_topics/2480639" TargetMode="External"/><Relationship Id="rId4" Type="http://schemas.openxmlformats.org/officeDocument/2006/relationships/hyperlink" Target="https://redshel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1078</Words>
  <Characters>6146</Characters>
  <Application>Microsoft Office Word</Application>
  <DocSecurity>0</DocSecurity>
  <Lines>51</Lines>
  <Paragraphs>14</Paragraphs>
  <ScaleCrop>false</ScaleCrop>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2021-08-06T10:47:00Z</dcterms:created>
  <dcterms:modified xsi:type="dcterms:W3CDTF">2021-08-06T10:49:00Z</dcterms:modified>
</cp:coreProperties>
</file>