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77648" w14:textId="77777777" w:rsidR="00675EF4" w:rsidRDefault="00675EF4" w:rsidP="00675EF4">
      <w:pPr>
        <w:pStyle w:val="NormalWeb"/>
        <w:shd w:val="clear" w:color="auto" w:fill="FFFFFF"/>
        <w:spacing w:before="180" w:beforeAutospacing="0" w:after="180" w:afterAutospacing="0"/>
        <w:rPr>
          <w:rFonts w:ascii="Lato" w:hAnsi="Lato"/>
          <w:color w:val="3D494C"/>
          <w:sz w:val="23"/>
          <w:szCs w:val="23"/>
        </w:rPr>
      </w:pPr>
      <w:proofErr w:type="spellStart"/>
      <w:r>
        <w:rPr>
          <w:rFonts w:ascii="Lato" w:hAnsi="Lato"/>
          <w:color w:val="3D494C"/>
          <w:sz w:val="23"/>
          <w:szCs w:val="23"/>
        </w:rPr>
        <w:t>Lanina</w:t>
      </w:r>
      <w:proofErr w:type="spellEnd"/>
      <w:r>
        <w:rPr>
          <w:rFonts w:ascii="Lato" w:hAnsi="Lato"/>
          <w:color w:val="3D494C"/>
          <w:sz w:val="23"/>
          <w:szCs w:val="23"/>
        </w:rPr>
        <w:t xml:space="preserve"> and class,</w:t>
      </w:r>
    </w:p>
    <w:p w14:paraId="5E119F84" w14:textId="77777777" w:rsidR="00675EF4" w:rsidRDefault="00675EF4" w:rsidP="00675EF4">
      <w:pPr>
        <w:pStyle w:val="NormalWeb"/>
        <w:shd w:val="clear" w:color="auto" w:fill="FFFFFF"/>
        <w:spacing w:before="180" w:beforeAutospacing="0" w:after="180" w:afterAutospacing="0"/>
        <w:rPr>
          <w:rFonts w:ascii="Lato" w:hAnsi="Lato"/>
          <w:color w:val="3D494C"/>
          <w:sz w:val="23"/>
          <w:szCs w:val="23"/>
        </w:rPr>
      </w:pPr>
      <w:r>
        <w:rPr>
          <w:rFonts w:ascii="Lato" w:hAnsi="Lato"/>
          <w:color w:val="3D494C"/>
          <w:sz w:val="23"/>
          <w:szCs w:val="23"/>
        </w:rPr>
        <w:t> </w:t>
      </w:r>
    </w:p>
    <w:p w14:paraId="6521726D" w14:textId="77777777" w:rsidR="00675EF4" w:rsidRDefault="00675EF4" w:rsidP="00675EF4">
      <w:pPr>
        <w:pStyle w:val="NormalWeb"/>
        <w:shd w:val="clear" w:color="auto" w:fill="FFFFFF"/>
        <w:spacing w:before="180" w:beforeAutospacing="0" w:after="180" w:afterAutospacing="0"/>
        <w:rPr>
          <w:rFonts w:ascii="Lato" w:hAnsi="Lato"/>
          <w:color w:val="3D494C"/>
          <w:sz w:val="23"/>
          <w:szCs w:val="23"/>
        </w:rPr>
      </w:pPr>
      <w:r>
        <w:rPr>
          <w:rFonts w:ascii="Lato" w:hAnsi="Lato"/>
          <w:color w:val="3D494C"/>
          <w:sz w:val="23"/>
          <w:szCs w:val="23"/>
        </w:rPr>
        <w:t xml:space="preserve">I am so glad you mentioned the impact that education has on the entrepreneur. I have told you all again and again about my brother and I working with the pop bottle refunds and being able to do great things for us as kids and to help our mother who depended on us because my father was an alcoholic and spent the money he made in drinking and being a womanizer. Poor mama and poor us kids. We worked hard and made some strides but I was the first in the family to graduate high school and then I was able to get my degrees through the years all the way up and beyond my PhD. First in the family for that too. It has given me such empowerment and I have been able to do so many wonderful things with my education. I feel like I am limitless but sometimes I have to understand that things don't always happen when I want them too and often, I have to wait </w:t>
      </w:r>
      <w:proofErr w:type="spellStart"/>
      <w:r>
        <w:rPr>
          <w:rFonts w:ascii="Lato" w:hAnsi="Lato"/>
          <w:color w:val="3D494C"/>
          <w:sz w:val="23"/>
          <w:szCs w:val="23"/>
        </w:rPr>
        <w:t>til</w:t>
      </w:r>
      <w:proofErr w:type="spellEnd"/>
      <w:r>
        <w:rPr>
          <w:rFonts w:ascii="Lato" w:hAnsi="Lato"/>
          <w:color w:val="3D494C"/>
          <w:sz w:val="23"/>
          <w:szCs w:val="23"/>
        </w:rPr>
        <w:t xml:space="preserve"> the time is right. </w:t>
      </w:r>
    </w:p>
    <w:p w14:paraId="4F2FB9E1" w14:textId="77777777" w:rsidR="00675EF4" w:rsidRDefault="00675EF4" w:rsidP="00675EF4">
      <w:pPr>
        <w:pStyle w:val="NormalWeb"/>
        <w:shd w:val="clear" w:color="auto" w:fill="FFFFFF"/>
        <w:spacing w:before="180" w:beforeAutospacing="0" w:after="180" w:afterAutospacing="0"/>
        <w:rPr>
          <w:rFonts w:ascii="Lato" w:hAnsi="Lato"/>
          <w:color w:val="3D494C"/>
          <w:sz w:val="23"/>
          <w:szCs w:val="23"/>
        </w:rPr>
      </w:pPr>
      <w:r>
        <w:rPr>
          <w:rFonts w:ascii="Lato" w:hAnsi="Lato"/>
          <w:color w:val="3D494C"/>
          <w:sz w:val="23"/>
          <w:szCs w:val="23"/>
        </w:rPr>
        <w:t> </w:t>
      </w:r>
    </w:p>
    <w:p w14:paraId="74FAD75C" w14:textId="77777777" w:rsidR="00675EF4" w:rsidRDefault="00675EF4" w:rsidP="00675EF4">
      <w:pPr>
        <w:pStyle w:val="NormalWeb"/>
        <w:shd w:val="clear" w:color="auto" w:fill="FFFFFF"/>
        <w:spacing w:before="180" w:beforeAutospacing="0" w:after="180" w:afterAutospacing="0"/>
        <w:rPr>
          <w:rFonts w:ascii="Lato" w:hAnsi="Lato"/>
          <w:color w:val="3D494C"/>
          <w:sz w:val="23"/>
          <w:szCs w:val="23"/>
        </w:rPr>
      </w:pPr>
      <w:r>
        <w:rPr>
          <w:rFonts w:ascii="Lato" w:hAnsi="Lato"/>
          <w:color w:val="3D494C"/>
          <w:sz w:val="23"/>
          <w:szCs w:val="23"/>
        </w:rPr>
        <w:t>What is your story and how does this add to the fibers of my own?</w:t>
      </w:r>
    </w:p>
    <w:p w14:paraId="5624D078" w14:textId="77777777" w:rsidR="00675EF4" w:rsidRDefault="00675EF4" w:rsidP="00675EF4">
      <w:pPr>
        <w:pStyle w:val="NormalWeb"/>
        <w:shd w:val="clear" w:color="auto" w:fill="FFFFFF"/>
        <w:spacing w:before="180" w:beforeAutospacing="0" w:after="180" w:afterAutospacing="0"/>
        <w:rPr>
          <w:rFonts w:ascii="Lato" w:hAnsi="Lato"/>
          <w:color w:val="3D494C"/>
          <w:sz w:val="23"/>
          <w:szCs w:val="23"/>
        </w:rPr>
      </w:pPr>
      <w:r>
        <w:rPr>
          <w:rFonts w:ascii="Lato" w:hAnsi="Lato"/>
          <w:color w:val="3D494C"/>
          <w:sz w:val="23"/>
          <w:szCs w:val="23"/>
        </w:rPr>
        <w:t>Janice</w:t>
      </w:r>
    </w:p>
    <w:p w14:paraId="5D5E62BC" w14:textId="77777777" w:rsidR="00675EF4" w:rsidRDefault="00675EF4" w:rsidP="00675EF4">
      <w:pPr>
        <w:pStyle w:val="NormalWeb"/>
        <w:shd w:val="clear" w:color="auto" w:fill="FFFFFF"/>
        <w:spacing w:before="180" w:beforeAutospacing="0" w:after="0" w:afterAutospacing="0"/>
        <w:rPr>
          <w:rFonts w:ascii="Lato" w:hAnsi="Lato"/>
          <w:color w:val="3D494C"/>
          <w:sz w:val="23"/>
          <w:szCs w:val="23"/>
        </w:rPr>
      </w:pPr>
      <w:r>
        <w:rPr>
          <w:rStyle w:val="Strong"/>
          <w:rFonts w:ascii="Lato" w:hAnsi="Lato"/>
          <w:color w:val="3D494C"/>
          <w:sz w:val="23"/>
          <w:szCs w:val="23"/>
        </w:rPr>
        <w:t>References</w:t>
      </w:r>
    </w:p>
    <w:p w14:paraId="08FEA9A8" w14:textId="77777777" w:rsidR="00675EF4" w:rsidRDefault="00675EF4" w:rsidP="00675EF4">
      <w:pPr>
        <w:pStyle w:val="NormalWeb"/>
        <w:shd w:val="clear" w:color="auto" w:fill="FFFFFF"/>
        <w:spacing w:before="0" w:beforeAutospacing="0" w:after="0" w:afterAutospacing="0"/>
        <w:rPr>
          <w:rFonts w:ascii="Lato" w:hAnsi="Lato"/>
          <w:color w:val="3D494C"/>
          <w:sz w:val="23"/>
          <w:szCs w:val="23"/>
        </w:rPr>
      </w:pPr>
      <w:proofErr w:type="spellStart"/>
      <w:r>
        <w:rPr>
          <w:rFonts w:ascii="Lato" w:hAnsi="Lato"/>
          <w:color w:val="3D494C"/>
          <w:sz w:val="23"/>
          <w:szCs w:val="23"/>
        </w:rPr>
        <w:t>Caiazza</w:t>
      </w:r>
      <w:proofErr w:type="spellEnd"/>
      <w:r>
        <w:rPr>
          <w:rFonts w:ascii="Lato" w:hAnsi="Lato"/>
          <w:color w:val="3D494C"/>
          <w:sz w:val="23"/>
          <w:szCs w:val="23"/>
        </w:rPr>
        <w:t xml:space="preserve">, R., Richardson, A., &amp; </w:t>
      </w:r>
      <w:proofErr w:type="spellStart"/>
      <w:r>
        <w:rPr>
          <w:rFonts w:ascii="Lato" w:hAnsi="Lato"/>
          <w:color w:val="3D494C"/>
          <w:sz w:val="23"/>
          <w:szCs w:val="23"/>
        </w:rPr>
        <w:t>Audretsch</w:t>
      </w:r>
      <w:proofErr w:type="spellEnd"/>
      <w:r>
        <w:rPr>
          <w:rFonts w:ascii="Lato" w:hAnsi="Lato"/>
          <w:color w:val="3D494C"/>
          <w:sz w:val="23"/>
          <w:szCs w:val="23"/>
        </w:rPr>
        <w:t>, D. (2015). Knowledge effects on competitiveness: From firms to regional advantage. </w:t>
      </w:r>
      <w:r>
        <w:rPr>
          <w:rStyle w:val="Emphasis"/>
          <w:rFonts w:ascii="Lato" w:hAnsi="Lato"/>
          <w:color w:val="3D494C"/>
          <w:sz w:val="23"/>
          <w:szCs w:val="23"/>
        </w:rPr>
        <w:t>The Journal of Technology Transfer, 40</w:t>
      </w:r>
      <w:r>
        <w:rPr>
          <w:rFonts w:ascii="Lato" w:hAnsi="Lato"/>
          <w:color w:val="3D494C"/>
          <w:sz w:val="23"/>
          <w:szCs w:val="23"/>
        </w:rPr>
        <w:t>(6), 899-909. </w:t>
      </w:r>
      <w:hyperlink r:id="rId4" w:tgtFrame="_blank" w:history="1">
        <w:r>
          <w:rPr>
            <w:rStyle w:val="Hyperlink"/>
            <w:rFonts w:ascii="Lato" w:hAnsi="Lato"/>
            <w:sz w:val="23"/>
            <w:szCs w:val="23"/>
          </w:rPr>
          <w:t>https://doi.org/10.1007/s10961-015-9425-8</w:t>
        </w:r>
        <w:r>
          <w:rPr>
            <w:rStyle w:val="screenreader-only"/>
            <w:rFonts w:ascii="Lato" w:hAnsi="Lato"/>
            <w:color w:val="0000FF"/>
            <w:sz w:val="23"/>
            <w:szCs w:val="23"/>
            <w:u w:val="single"/>
            <w:bdr w:val="none" w:sz="0" w:space="0" w:color="auto" w:frame="1"/>
          </w:rPr>
          <w:t> (Links to an external site.)</w:t>
        </w:r>
      </w:hyperlink>
      <w:r>
        <w:rPr>
          <w:rFonts w:ascii="Lato" w:hAnsi="Lato"/>
          <w:color w:val="3D494C"/>
          <w:sz w:val="23"/>
          <w:szCs w:val="23"/>
        </w:rPr>
        <w:t>.</w:t>
      </w:r>
    </w:p>
    <w:p w14:paraId="2CBF3FF7" w14:textId="77777777" w:rsidR="00675EF4" w:rsidRDefault="00675EF4" w:rsidP="00675EF4">
      <w:pPr>
        <w:pStyle w:val="NormalWeb"/>
        <w:shd w:val="clear" w:color="auto" w:fill="FFFFFF"/>
        <w:spacing w:before="0" w:beforeAutospacing="0" w:after="0" w:afterAutospacing="0"/>
        <w:rPr>
          <w:rFonts w:ascii="Lato" w:hAnsi="Lato"/>
          <w:color w:val="3D494C"/>
          <w:sz w:val="23"/>
          <w:szCs w:val="23"/>
        </w:rPr>
      </w:pPr>
      <w:r>
        <w:rPr>
          <w:rFonts w:ascii="Lato" w:hAnsi="Lato"/>
          <w:color w:val="3D494C"/>
          <w:sz w:val="23"/>
          <w:szCs w:val="23"/>
        </w:rPr>
        <w:t>Fortunato, M. W., &amp; Alter, T. (2015). Community entrepreneurship development: An introduction. </w:t>
      </w:r>
      <w:r>
        <w:rPr>
          <w:rStyle w:val="Emphasis"/>
          <w:rFonts w:ascii="Lato" w:hAnsi="Lato"/>
          <w:color w:val="3D494C"/>
          <w:sz w:val="23"/>
          <w:szCs w:val="23"/>
        </w:rPr>
        <w:t>Community Development, 46</w:t>
      </w:r>
      <w:r>
        <w:rPr>
          <w:rFonts w:ascii="Lato" w:hAnsi="Lato"/>
          <w:color w:val="3D494C"/>
          <w:sz w:val="23"/>
          <w:szCs w:val="23"/>
        </w:rPr>
        <w:t>(5), 444-455. </w:t>
      </w:r>
      <w:hyperlink r:id="rId5" w:tgtFrame="_blank" w:history="1">
        <w:r>
          <w:rPr>
            <w:rStyle w:val="Hyperlink"/>
            <w:rFonts w:ascii="Lato" w:hAnsi="Lato"/>
            <w:sz w:val="23"/>
            <w:szCs w:val="23"/>
          </w:rPr>
          <w:t>https://doi.org/10.1080/15575330.2015.1080742</w:t>
        </w:r>
        <w:r>
          <w:rPr>
            <w:rStyle w:val="screenreader-only"/>
            <w:rFonts w:ascii="Lato" w:hAnsi="Lato"/>
            <w:color w:val="0000FF"/>
            <w:sz w:val="23"/>
            <w:szCs w:val="23"/>
            <w:u w:val="single"/>
            <w:bdr w:val="none" w:sz="0" w:space="0" w:color="auto" w:frame="1"/>
          </w:rPr>
          <w:t> (Links to an external site.)</w:t>
        </w:r>
      </w:hyperlink>
      <w:r>
        <w:rPr>
          <w:rFonts w:ascii="Lato" w:hAnsi="Lato"/>
          <w:color w:val="3D494C"/>
          <w:sz w:val="23"/>
          <w:szCs w:val="23"/>
        </w:rPr>
        <w:t>.</w:t>
      </w:r>
    </w:p>
    <w:p w14:paraId="4005A778" w14:textId="77777777" w:rsidR="00675EF4" w:rsidRDefault="00675EF4" w:rsidP="00675EF4">
      <w:pPr>
        <w:pStyle w:val="NormalWeb"/>
        <w:shd w:val="clear" w:color="auto" w:fill="FFFFFF"/>
        <w:spacing w:before="180" w:beforeAutospacing="0" w:after="0" w:afterAutospacing="0"/>
        <w:rPr>
          <w:rFonts w:ascii="Lato" w:hAnsi="Lato"/>
          <w:color w:val="3D494C"/>
          <w:sz w:val="23"/>
          <w:szCs w:val="23"/>
        </w:rPr>
      </w:pPr>
      <w:proofErr w:type="spellStart"/>
      <w:r>
        <w:rPr>
          <w:rFonts w:ascii="Lato" w:hAnsi="Lato"/>
          <w:color w:val="3D494C"/>
          <w:sz w:val="23"/>
          <w:szCs w:val="23"/>
        </w:rPr>
        <w:t>Portuguez</w:t>
      </w:r>
      <w:proofErr w:type="spellEnd"/>
      <w:r>
        <w:rPr>
          <w:rFonts w:ascii="Lato" w:hAnsi="Lato"/>
          <w:color w:val="3D494C"/>
          <w:sz w:val="23"/>
          <w:szCs w:val="23"/>
        </w:rPr>
        <w:t xml:space="preserve"> Castro, M., Ross </w:t>
      </w:r>
      <w:proofErr w:type="spellStart"/>
      <w:r>
        <w:rPr>
          <w:rFonts w:ascii="Lato" w:hAnsi="Lato"/>
          <w:color w:val="3D494C"/>
          <w:sz w:val="23"/>
          <w:szCs w:val="23"/>
        </w:rPr>
        <w:t>Scheede</w:t>
      </w:r>
      <w:proofErr w:type="spellEnd"/>
      <w:r>
        <w:rPr>
          <w:rFonts w:ascii="Lato" w:hAnsi="Lato"/>
          <w:color w:val="3D494C"/>
          <w:sz w:val="23"/>
          <w:szCs w:val="23"/>
        </w:rPr>
        <w:t xml:space="preserve">, C., &amp; Gómez </w:t>
      </w:r>
      <w:proofErr w:type="spellStart"/>
      <w:r>
        <w:rPr>
          <w:rFonts w:ascii="Lato" w:hAnsi="Lato"/>
          <w:color w:val="3D494C"/>
          <w:sz w:val="23"/>
          <w:szCs w:val="23"/>
        </w:rPr>
        <w:t>Zermeño</w:t>
      </w:r>
      <w:proofErr w:type="spellEnd"/>
      <w:r>
        <w:rPr>
          <w:rFonts w:ascii="Lato" w:hAnsi="Lato"/>
          <w:color w:val="3D494C"/>
          <w:sz w:val="23"/>
          <w:szCs w:val="23"/>
        </w:rPr>
        <w:t>, M. G. (2019). The impact of higher education on entrepreneurship and the innovation ecosystem: A case study in Mexico. </w:t>
      </w:r>
      <w:r>
        <w:rPr>
          <w:rStyle w:val="Emphasis"/>
          <w:rFonts w:ascii="Lato" w:hAnsi="Lato"/>
          <w:color w:val="3D494C"/>
          <w:sz w:val="23"/>
          <w:szCs w:val="23"/>
        </w:rPr>
        <w:t>Sustainability</w:t>
      </w:r>
      <w:r>
        <w:rPr>
          <w:rFonts w:ascii="Lato" w:hAnsi="Lato"/>
          <w:color w:val="3D494C"/>
          <w:sz w:val="23"/>
          <w:szCs w:val="23"/>
        </w:rPr>
        <w:t>, </w:t>
      </w:r>
      <w:r>
        <w:rPr>
          <w:rStyle w:val="Emphasis"/>
          <w:rFonts w:ascii="Lato" w:hAnsi="Lato"/>
          <w:color w:val="3D494C"/>
          <w:sz w:val="23"/>
          <w:szCs w:val="23"/>
        </w:rPr>
        <w:t>11</w:t>
      </w:r>
      <w:r>
        <w:rPr>
          <w:rFonts w:ascii="Lato" w:hAnsi="Lato"/>
          <w:color w:val="3D494C"/>
          <w:sz w:val="23"/>
          <w:szCs w:val="23"/>
        </w:rPr>
        <w:t>(20), 5597. </w:t>
      </w:r>
      <w:hyperlink r:id="rId6" w:tgtFrame="_blank" w:history="1">
        <w:r>
          <w:rPr>
            <w:rStyle w:val="Hyperlink"/>
            <w:rFonts w:ascii="Lato" w:hAnsi="Lato"/>
            <w:sz w:val="23"/>
            <w:szCs w:val="23"/>
          </w:rPr>
          <w:t>https://doi.org/10.3390/su11205597</w:t>
        </w:r>
      </w:hyperlink>
    </w:p>
    <w:p w14:paraId="60A7A6C4" w14:textId="54351A86" w:rsidR="00822469" w:rsidRDefault="00822469"/>
    <w:p w14:paraId="14476F48" w14:textId="57B95DC2" w:rsidR="00675EF4" w:rsidRDefault="00675EF4">
      <w:r>
        <w:t>ALBERTA</w:t>
      </w:r>
    </w:p>
    <w:p w14:paraId="73CD9313" w14:textId="77777777" w:rsidR="00675EF4" w:rsidRDefault="00675EF4" w:rsidP="00675EF4">
      <w:pPr>
        <w:pStyle w:val="NormalWeb"/>
        <w:shd w:val="clear" w:color="auto" w:fill="FFFFFF"/>
        <w:spacing w:before="180" w:beforeAutospacing="0" w:after="180" w:afterAutospacing="0"/>
        <w:rPr>
          <w:rFonts w:ascii="Lato" w:hAnsi="Lato"/>
          <w:color w:val="3D494C"/>
        </w:rPr>
      </w:pPr>
      <w:r>
        <w:rPr>
          <w:rFonts w:ascii="Lato" w:hAnsi="Lato"/>
          <w:color w:val="3D494C"/>
        </w:rPr>
        <w:t>Educational systems play a vital role in developing and encouraging innovation and entrepreneurship and play an essential role in the growth and sustainability of developing countries. Educational systems increase knowledge sources for discovering opportunities through R&amp;D to drive entrepreneurial and regional advantages (</w:t>
      </w:r>
      <w:proofErr w:type="spellStart"/>
      <w:r>
        <w:rPr>
          <w:rFonts w:ascii="Lato" w:hAnsi="Lato"/>
          <w:color w:val="3D494C"/>
        </w:rPr>
        <w:t>Caiazza</w:t>
      </w:r>
      <w:proofErr w:type="spellEnd"/>
      <w:r>
        <w:rPr>
          <w:rFonts w:ascii="Lato" w:hAnsi="Lato"/>
          <w:color w:val="3D494C"/>
        </w:rPr>
        <w:t>, et al., 2015). Innovational communities through education facilitate the expansion of idea creation and the transfer of knowledge to stimulate innovation that prosper entrepreneurs’ activities (Fortunato &amp; Alter, 2015)</w:t>
      </w:r>
    </w:p>
    <w:p w14:paraId="309043C7" w14:textId="77777777" w:rsidR="00675EF4" w:rsidRDefault="00675EF4" w:rsidP="00675EF4">
      <w:pPr>
        <w:pStyle w:val="NormalWeb"/>
        <w:shd w:val="clear" w:color="auto" w:fill="FFFFFF"/>
        <w:spacing w:before="180" w:beforeAutospacing="0" w:after="180" w:afterAutospacing="0"/>
        <w:rPr>
          <w:rFonts w:ascii="Lato" w:hAnsi="Lato"/>
          <w:color w:val="3D494C"/>
        </w:rPr>
      </w:pPr>
      <w:r>
        <w:rPr>
          <w:rFonts w:ascii="Lato" w:hAnsi="Lato"/>
          <w:color w:val="3D494C"/>
        </w:rPr>
        <w:t>Educational systems stimulate creativity and innovative mindsets in entrepreneurship. An entrepreneurial mindset promotes certain behaviors or characteristics like curiosity, creativity, commitment, optimism, flexibility, ownership, leadership, connectivity, and self-respect (Chen, 2021). These characteristics are the basis for creative and innovative thinking relevant in an innovative-driven environment to harness creativity (Chen, 2021).</w:t>
      </w:r>
    </w:p>
    <w:p w14:paraId="2984F725" w14:textId="77777777" w:rsidR="00675EF4" w:rsidRDefault="00675EF4" w:rsidP="00675EF4">
      <w:pPr>
        <w:pStyle w:val="NormalWeb"/>
        <w:shd w:val="clear" w:color="auto" w:fill="FFFFFF"/>
        <w:spacing w:before="180" w:beforeAutospacing="0" w:after="180" w:afterAutospacing="0"/>
        <w:rPr>
          <w:rFonts w:ascii="Lato" w:hAnsi="Lato"/>
          <w:color w:val="3D494C"/>
        </w:rPr>
      </w:pPr>
      <w:r>
        <w:rPr>
          <w:rFonts w:ascii="Lato" w:hAnsi="Lato"/>
          <w:color w:val="3D494C"/>
        </w:rPr>
        <w:lastRenderedPageBreak/>
        <w:t>The Prime Minister of India's mindset for the country is being self-reliant. Self-reliance is the basis of India’s economic growth and social development and five pillows – economy, infrastructure, technology-driven system, demography, and demand (</w:t>
      </w:r>
      <w:proofErr w:type="spellStart"/>
      <w:r>
        <w:rPr>
          <w:rFonts w:ascii="Lato" w:hAnsi="Lato"/>
          <w:color w:val="3D494C"/>
        </w:rPr>
        <w:t>Pednekar</w:t>
      </w:r>
      <w:proofErr w:type="spellEnd"/>
      <w:r>
        <w:rPr>
          <w:rFonts w:ascii="Lato" w:hAnsi="Lato"/>
          <w:color w:val="3D494C"/>
        </w:rPr>
        <w:t xml:space="preserve">, 2021).  Often time leaders’ decisions based on their innovation system include knowledge creation, exploration, and application.  Due to external factors like politics, climate, economy, and investors’ relations governmental policies and regulations are established as guidelines to support sustainable developments. </w:t>
      </w:r>
      <w:proofErr w:type="spellStart"/>
      <w:r>
        <w:rPr>
          <w:rFonts w:ascii="Lato" w:hAnsi="Lato"/>
          <w:color w:val="3D494C"/>
        </w:rPr>
        <w:t>i</w:t>
      </w:r>
      <w:proofErr w:type="spellEnd"/>
    </w:p>
    <w:p w14:paraId="6D0A15B7" w14:textId="77777777" w:rsidR="00675EF4" w:rsidRDefault="00675EF4" w:rsidP="00675EF4">
      <w:pPr>
        <w:pStyle w:val="NormalWeb"/>
        <w:shd w:val="clear" w:color="auto" w:fill="FFFFFF"/>
        <w:spacing w:before="180" w:beforeAutospacing="0" w:after="180" w:afterAutospacing="0"/>
        <w:rPr>
          <w:rFonts w:ascii="Lato" w:hAnsi="Lato"/>
          <w:color w:val="3D494C"/>
        </w:rPr>
      </w:pPr>
      <w:r>
        <w:rPr>
          <w:rFonts w:ascii="Lato" w:hAnsi="Lato"/>
          <w:color w:val="3D494C"/>
        </w:rPr>
        <w:t>Over the past few years, India has made strides in driving the nation on the path of innovation and creating a conducive ecosystem and a New Education Policy by the Central Government. The New Education Policy of 2020 focuses on optimizing resources, academic flexibility, critical thinking, experiential learning, interactive classrooms, etc. (</w:t>
      </w:r>
      <w:proofErr w:type="spellStart"/>
      <w:r>
        <w:rPr>
          <w:rFonts w:ascii="Lato" w:hAnsi="Lato"/>
          <w:color w:val="3D494C"/>
        </w:rPr>
        <w:t>Pednekar</w:t>
      </w:r>
      <w:proofErr w:type="spellEnd"/>
      <w:r>
        <w:rPr>
          <w:rFonts w:ascii="Lato" w:hAnsi="Lato"/>
          <w:color w:val="3D494C"/>
        </w:rPr>
        <w:t>, 2021). The initiative is expected to spur applied learning and innovation and entrepreneurial culture in Higher Educational Institutions (HEIs) curriculums. Other Government policies promote Science, Technology, and the Innovation Policy of 2020 (</w:t>
      </w:r>
      <w:proofErr w:type="spellStart"/>
      <w:r>
        <w:rPr>
          <w:rFonts w:ascii="Lato" w:hAnsi="Lato"/>
          <w:color w:val="3D494C"/>
        </w:rPr>
        <w:t>Pednekar</w:t>
      </w:r>
      <w:proofErr w:type="spellEnd"/>
      <w:r>
        <w:rPr>
          <w:rFonts w:ascii="Lato" w:hAnsi="Lato"/>
          <w:color w:val="3D494C"/>
        </w:rPr>
        <w:t>, 2021). These interventions establish the framework to create an atmosphere conducive for more innovation and entrepreneurship to increase the country’s overall goal to reduce poverty.</w:t>
      </w:r>
    </w:p>
    <w:p w14:paraId="36EFEE10" w14:textId="77777777" w:rsidR="00675EF4" w:rsidRDefault="00675EF4" w:rsidP="00675EF4">
      <w:pPr>
        <w:pStyle w:val="NormalWeb"/>
        <w:shd w:val="clear" w:color="auto" w:fill="FFFFFF"/>
        <w:spacing w:before="180" w:beforeAutospacing="0" w:after="180" w:afterAutospacing="0"/>
        <w:rPr>
          <w:rFonts w:ascii="Lato" w:hAnsi="Lato"/>
          <w:color w:val="3D494C"/>
        </w:rPr>
      </w:pPr>
      <w:r>
        <w:rPr>
          <w:rFonts w:ascii="Lato" w:hAnsi="Lato"/>
          <w:color w:val="3D494C"/>
        </w:rPr>
        <w:t> </w:t>
      </w:r>
    </w:p>
    <w:p w14:paraId="2D8CBAE6" w14:textId="77777777" w:rsidR="00675EF4" w:rsidRDefault="00675EF4" w:rsidP="00675EF4">
      <w:pPr>
        <w:pStyle w:val="NormalWeb"/>
        <w:shd w:val="clear" w:color="auto" w:fill="FFFFFF"/>
        <w:spacing w:before="180" w:beforeAutospacing="0" w:after="0" w:afterAutospacing="0"/>
        <w:rPr>
          <w:rFonts w:ascii="Lato" w:hAnsi="Lato"/>
          <w:color w:val="3D494C"/>
        </w:rPr>
      </w:pPr>
      <w:r>
        <w:rPr>
          <w:rStyle w:val="Strong"/>
          <w:rFonts w:ascii="Lato" w:hAnsi="Lato"/>
          <w:color w:val="3D494C"/>
        </w:rPr>
        <w:t>Reference</w:t>
      </w:r>
    </w:p>
    <w:p w14:paraId="0AEAD04A" w14:textId="77777777" w:rsidR="00675EF4" w:rsidRDefault="00675EF4" w:rsidP="00675EF4">
      <w:pPr>
        <w:pStyle w:val="NormalWeb"/>
        <w:shd w:val="clear" w:color="auto" w:fill="FFFFFF"/>
        <w:spacing w:before="180" w:beforeAutospacing="0" w:after="180" w:afterAutospacing="0"/>
        <w:rPr>
          <w:rFonts w:ascii="Lato" w:hAnsi="Lato"/>
          <w:color w:val="3D494C"/>
        </w:rPr>
      </w:pPr>
      <w:proofErr w:type="spellStart"/>
      <w:r>
        <w:rPr>
          <w:rFonts w:ascii="Lato" w:hAnsi="Lato"/>
          <w:color w:val="3D494C"/>
        </w:rPr>
        <w:t>Caiazza</w:t>
      </w:r>
      <w:proofErr w:type="spellEnd"/>
      <w:r>
        <w:rPr>
          <w:rFonts w:ascii="Lato" w:hAnsi="Lato"/>
          <w:color w:val="3D494C"/>
        </w:rPr>
        <w:t xml:space="preserve">, R., Richardson, A., &amp; </w:t>
      </w:r>
      <w:proofErr w:type="spellStart"/>
      <w:r>
        <w:rPr>
          <w:rFonts w:ascii="Lato" w:hAnsi="Lato"/>
          <w:color w:val="3D494C"/>
        </w:rPr>
        <w:t>Audretsch</w:t>
      </w:r>
      <w:proofErr w:type="spellEnd"/>
      <w:r>
        <w:rPr>
          <w:rFonts w:ascii="Lato" w:hAnsi="Lato"/>
          <w:color w:val="3D494C"/>
        </w:rPr>
        <w:t>, D. (2015). Knowledge effects on competitiveness: from firms to regional advantage. The Journal of Technology Transfer, 40(6), 899-909. https://doi.org/10.1007/s10961-015-9425-8</w:t>
      </w:r>
    </w:p>
    <w:p w14:paraId="6D456C57" w14:textId="77777777" w:rsidR="00675EF4" w:rsidRDefault="00675EF4" w:rsidP="00675EF4">
      <w:pPr>
        <w:pStyle w:val="NormalWeb"/>
        <w:shd w:val="clear" w:color="auto" w:fill="FFFFFF"/>
        <w:spacing w:before="180" w:beforeAutospacing="0" w:after="180" w:afterAutospacing="0"/>
        <w:rPr>
          <w:rFonts w:ascii="Lato" w:hAnsi="Lato"/>
          <w:color w:val="3D494C"/>
        </w:rPr>
      </w:pPr>
      <w:r>
        <w:rPr>
          <w:rFonts w:ascii="Lato" w:hAnsi="Lato"/>
          <w:color w:val="3D494C"/>
        </w:rPr>
        <w:t>Chen, E. (2021). What is Innovation-driven Entrepreneurship (IDE)?  https://orbit-kb.mit.edu/hc/en-us/articles/360039696252-What-is-innovation-driven-entrepreneurship-IDE-</w:t>
      </w:r>
    </w:p>
    <w:p w14:paraId="1B5A2E0F" w14:textId="77777777" w:rsidR="00675EF4" w:rsidRDefault="00675EF4" w:rsidP="00675EF4">
      <w:pPr>
        <w:pStyle w:val="NormalWeb"/>
        <w:shd w:val="clear" w:color="auto" w:fill="FFFFFF"/>
        <w:spacing w:before="180" w:beforeAutospacing="0" w:after="180" w:afterAutospacing="0"/>
        <w:rPr>
          <w:rFonts w:ascii="Lato" w:hAnsi="Lato"/>
          <w:color w:val="3D494C"/>
        </w:rPr>
      </w:pPr>
      <w:r>
        <w:rPr>
          <w:rFonts w:ascii="Lato" w:hAnsi="Lato"/>
          <w:color w:val="3D494C"/>
        </w:rPr>
        <w:t>Fortunato, M. W., &amp; Alter, T. (2015). Community entrepreneurship development: An introduction. Community Development, 46(5), 444-455. https://doi.org/10.1080/15575330.2015.1080742 (Links to an external site.).</w:t>
      </w:r>
    </w:p>
    <w:p w14:paraId="6DA5B104" w14:textId="77777777" w:rsidR="00675EF4" w:rsidRDefault="00675EF4" w:rsidP="00675EF4">
      <w:pPr>
        <w:pStyle w:val="NormalWeb"/>
        <w:shd w:val="clear" w:color="auto" w:fill="FFFFFF"/>
        <w:spacing w:before="180" w:beforeAutospacing="0" w:after="0" w:afterAutospacing="0"/>
        <w:rPr>
          <w:rFonts w:ascii="Lato" w:hAnsi="Lato"/>
          <w:color w:val="3D494C"/>
        </w:rPr>
      </w:pPr>
      <w:r>
        <w:rPr>
          <w:rFonts w:ascii="Lato" w:hAnsi="Lato"/>
          <w:color w:val="3D494C"/>
        </w:rPr>
        <w:t>Modi, N. (2020). What are the five Pillars of a Self-reliant India?  https://www.narendramodi.in/what-are-the-five-pillars-of-a-self-reliant-india-read-to-find-out-more-5496</w:t>
      </w:r>
    </w:p>
    <w:p w14:paraId="7D4EC9EB" w14:textId="77777777" w:rsidR="00675EF4" w:rsidRDefault="00675EF4"/>
    <w:sectPr w:rsidR="00675E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F4"/>
    <w:rsid w:val="00675EF4"/>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0AE3C"/>
  <w15:chartTrackingRefBased/>
  <w15:docId w15:val="{2CD82801-63C8-490A-86A3-E11988FD6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5E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5EF4"/>
    <w:rPr>
      <w:b/>
      <w:bCs/>
    </w:rPr>
  </w:style>
  <w:style w:type="character" w:styleId="Emphasis">
    <w:name w:val="Emphasis"/>
    <w:basedOn w:val="DefaultParagraphFont"/>
    <w:uiPriority w:val="20"/>
    <w:qFormat/>
    <w:rsid w:val="00675EF4"/>
    <w:rPr>
      <w:i/>
      <w:iCs/>
    </w:rPr>
  </w:style>
  <w:style w:type="character" w:styleId="Hyperlink">
    <w:name w:val="Hyperlink"/>
    <w:basedOn w:val="DefaultParagraphFont"/>
    <w:uiPriority w:val="99"/>
    <w:semiHidden/>
    <w:unhideWhenUsed/>
    <w:rsid w:val="00675EF4"/>
    <w:rPr>
      <w:color w:val="0000FF"/>
      <w:u w:val="single"/>
    </w:rPr>
  </w:style>
  <w:style w:type="character" w:customStyle="1" w:styleId="screenreader-only">
    <w:name w:val="screenreader-only"/>
    <w:basedOn w:val="DefaultParagraphFont"/>
    <w:rsid w:val="00675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562936">
      <w:bodyDiv w:val="1"/>
      <w:marLeft w:val="0"/>
      <w:marRight w:val="0"/>
      <w:marTop w:val="0"/>
      <w:marBottom w:val="0"/>
      <w:divBdr>
        <w:top w:val="none" w:sz="0" w:space="0" w:color="auto"/>
        <w:left w:val="none" w:sz="0" w:space="0" w:color="auto"/>
        <w:bottom w:val="none" w:sz="0" w:space="0" w:color="auto"/>
        <w:right w:val="none" w:sz="0" w:space="0" w:color="auto"/>
      </w:divBdr>
    </w:div>
    <w:div w:id="158796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90/su11205597" TargetMode="External"/><Relationship Id="rId5" Type="http://schemas.openxmlformats.org/officeDocument/2006/relationships/hyperlink" Target="https://doi.org/10.1080/15575330.2015.1080742" TargetMode="External"/><Relationship Id="rId4" Type="http://schemas.openxmlformats.org/officeDocument/2006/relationships/hyperlink" Target="https://doi.org/10.1007/s10961-015-94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754</Words>
  <Characters>4303</Characters>
  <Application>Microsoft Office Word</Application>
  <DocSecurity>0</DocSecurity>
  <Lines>35</Lines>
  <Paragraphs>10</Paragraphs>
  <ScaleCrop>false</ScaleCrop>
  <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2021-10-15T14:03:00Z</dcterms:created>
  <dcterms:modified xsi:type="dcterms:W3CDTF">2021-10-15T14:05:00Z</dcterms:modified>
</cp:coreProperties>
</file>