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88D8D" w14:textId="77777777" w:rsidR="00F14011" w:rsidRDefault="00F14011" w:rsidP="00F14011">
      <w:pPr>
        <w:shd w:val="clear" w:color="auto" w:fill="FFFFFF"/>
        <w:spacing w:before="180" w:after="180" w:line="240" w:lineRule="auto"/>
        <w:rPr>
          <w:rFonts w:ascii="Lato" w:eastAsia="Times New Roman" w:hAnsi="Lato" w:cs="Times New Roman"/>
          <w:color w:val="3D494C"/>
          <w:sz w:val="24"/>
          <w:szCs w:val="24"/>
        </w:rPr>
      </w:pPr>
      <w:r>
        <w:rPr>
          <w:rFonts w:ascii="Lato" w:eastAsia="Times New Roman" w:hAnsi="Lato" w:cs="Times New Roman"/>
          <w:color w:val="3D494C"/>
          <w:sz w:val="24"/>
          <w:szCs w:val="24"/>
        </w:rPr>
        <w:t>ERICA</w:t>
      </w:r>
    </w:p>
    <w:p w14:paraId="7FFB938C" w14:textId="5D1E17EC" w:rsidR="00F14011" w:rsidRPr="00F14011" w:rsidRDefault="00F14011" w:rsidP="00F14011">
      <w:pPr>
        <w:shd w:val="clear" w:color="auto" w:fill="FFFFFF"/>
        <w:spacing w:before="180" w:after="180" w:line="240" w:lineRule="auto"/>
        <w:rPr>
          <w:rFonts w:ascii="Lato" w:eastAsia="Times New Roman" w:hAnsi="Lato" w:cs="Times New Roman"/>
          <w:color w:val="3D494C"/>
          <w:sz w:val="24"/>
          <w:szCs w:val="24"/>
        </w:rPr>
      </w:pPr>
      <w:r w:rsidRPr="00F14011">
        <w:rPr>
          <w:rFonts w:ascii="Lato" w:eastAsia="Times New Roman" w:hAnsi="Lato" w:cs="Times New Roman"/>
          <w:color w:val="3D494C"/>
          <w:sz w:val="24"/>
          <w:szCs w:val="24"/>
        </w:rPr>
        <w:t>The challenges that come with leveraging innovation and entrepreneurship into economic gains come with their pros and cons. Starting with some pros leveraging innovation and entrepreneurship can assist with creating sustainability within different businesses ventures. Sustainability in economies comes from having diverse stakeholders' input and who's included in the decision-making process (</w:t>
      </w:r>
      <w:proofErr w:type="spellStart"/>
      <w:r w:rsidRPr="00F14011">
        <w:rPr>
          <w:rFonts w:ascii="Lato" w:eastAsia="Times New Roman" w:hAnsi="Lato" w:cs="Times New Roman"/>
          <w:color w:val="3D494C"/>
          <w:sz w:val="24"/>
          <w:szCs w:val="24"/>
        </w:rPr>
        <w:t>Pittz</w:t>
      </w:r>
      <w:proofErr w:type="spellEnd"/>
      <w:r w:rsidRPr="00F14011">
        <w:rPr>
          <w:rFonts w:ascii="Lato" w:eastAsia="Times New Roman" w:hAnsi="Lato" w:cs="Times New Roman"/>
          <w:color w:val="3D494C"/>
          <w:sz w:val="24"/>
          <w:szCs w:val="24"/>
        </w:rPr>
        <w:t xml:space="preserve"> et al., 2017). A willingness to incorporate different ideas within the strategy process helps assist with building an economic gain. Having empathy and collaboration builds innovation and entrepreneurship. Without it creates some challenges such as employees who lack motivation and those not willing to participate in the building a business strategy overall. The United Nations sustainable development goals (SDGs) address how challenges for economic gains will be limited depending on how the country addresses areas like poverty, inequality, climate, environmental degradation, prosperity, and peace and justice (</w:t>
      </w:r>
      <w:proofErr w:type="spellStart"/>
      <w:r w:rsidRPr="00F14011">
        <w:rPr>
          <w:rFonts w:ascii="Lato" w:eastAsia="Times New Roman" w:hAnsi="Lato" w:cs="Times New Roman"/>
          <w:color w:val="3D494C"/>
          <w:sz w:val="24"/>
          <w:szCs w:val="24"/>
        </w:rPr>
        <w:t>Bogers</w:t>
      </w:r>
      <w:proofErr w:type="spellEnd"/>
      <w:r w:rsidRPr="00F14011">
        <w:rPr>
          <w:rFonts w:ascii="Lato" w:eastAsia="Times New Roman" w:hAnsi="Lato" w:cs="Times New Roman"/>
          <w:color w:val="3D494C"/>
          <w:sz w:val="24"/>
          <w:szCs w:val="24"/>
        </w:rPr>
        <w:t xml:space="preserve"> et al., 2020).</w:t>
      </w:r>
    </w:p>
    <w:p w14:paraId="715853D3" w14:textId="77777777" w:rsidR="00F14011" w:rsidRPr="00F14011" w:rsidRDefault="00F14011" w:rsidP="00F14011">
      <w:pPr>
        <w:shd w:val="clear" w:color="auto" w:fill="FFFFFF"/>
        <w:spacing w:before="180" w:after="180" w:line="240" w:lineRule="auto"/>
        <w:rPr>
          <w:rFonts w:ascii="Lato" w:eastAsia="Times New Roman" w:hAnsi="Lato" w:cs="Times New Roman"/>
          <w:color w:val="3D494C"/>
          <w:sz w:val="24"/>
          <w:szCs w:val="24"/>
        </w:rPr>
      </w:pPr>
      <w:r w:rsidRPr="00F14011">
        <w:rPr>
          <w:rFonts w:ascii="Lato" w:eastAsia="Times New Roman" w:hAnsi="Lato" w:cs="Times New Roman"/>
          <w:color w:val="3D494C"/>
          <w:sz w:val="24"/>
          <w:szCs w:val="24"/>
        </w:rPr>
        <w:t> </w:t>
      </w:r>
    </w:p>
    <w:p w14:paraId="6494AA21" w14:textId="77777777" w:rsidR="00F14011" w:rsidRPr="00F14011" w:rsidRDefault="00F14011" w:rsidP="00F14011">
      <w:pPr>
        <w:shd w:val="clear" w:color="auto" w:fill="FFFFFF"/>
        <w:spacing w:before="180" w:after="180" w:line="240" w:lineRule="auto"/>
        <w:rPr>
          <w:rFonts w:ascii="Lato" w:eastAsia="Times New Roman" w:hAnsi="Lato" w:cs="Times New Roman"/>
          <w:color w:val="3D494C"/>
          <w:sz w:val="24"/>
          <w:szCs w:val="24"/>
        </w:rPr>
      </w:pPr>
      <w:r w:rsidRPr="00F14011">
        <w:rPr>
          <w:rFonts w:ascii="Lato" w:eastAsia="Times New Roman" w:hAnsi="Lato" w:cs="Times New Roman"/>
          <w:color w:val="3D494C"/>
          <w:sz w:val="24"/>
          <w:szCs w:val="24"/>
        </w:rPr>
        <w:t>Foreign aid investment can help with the innovation development stages that come with being an entrepreneur. Foreign aid can help assist with environmental goals, create a sustainable business model, and promote open innovation. These adjustments can create inspiration for entrepreneurs and policymakers. Organizations like USAID meet challenges that affect the economies on a global scale. Places like the Middle East and North Africa sometimes deal with political transformation in their country that can affect innovation and entrepreneurship, and USAID provides a budget to combat these issues (USAID, 2012). Foreign aid can help with economic prosperity locally and globally. Foreign aid and investment help with the development of innovation and entrepreneurship by creating opportunities to help countries in ways that can feed them, educate them, and empower them. Significantly, the women and girls in countries often place them at the bottom regarding rights and privileges. Having a new approach to being engaged and innovative technologies creates a framework needed to promote innovation and entrepreneurship. </w:t>
      </w:r>
    </w:p>
    <w:p w14:paraId="364FA428" w14:textId="77777777" w:rsidR="00F14011" w:rsidRPr="00F14011" w:rsidRDefault="00F14011" w:rsidP="00F14011">
      <w:pPr>
        <w:shd w:val="clear" w:color="auto" w:fill="FFFFFF"/>
        <w:spacing w:before="180" w:after="180" w:line="240" w:lineRule="auto"/>
        <w:rPr>
          <w:rFonts w:ascii="Lato" w:eastAsia="Times New Roman" w:hAnsi="Lato" w:cs="Times New Roman"/>
          <w:color w:val="3D494C"/>
          <w:sz w:val="24"/>
          <w:szCs w:val="24"/>
        </w:rPr>
      </w:pPr>
      <w:r w:rsidRPr="00F14011">
        <w:rPr>
          <w:rFonts w:ascii="Lato" w:eastAsia="Times New Roman" w:hAnsi="Lato" w:cs="Times New Roman"/>
          <w:color w:val="3D494C"/>
          <w:sz w:val="24"/>
          <w:szCs w:val="24"/>
        </w:rPr>
        <w:t> </w:t>
      </w:r>
    </w:p>
    <w:p w14:paraId="28596926" w14:textId="77777777" w:rsidR="00F14011" w:rsidRPr="00F14011" w:rsidRDefault="00F14011" w:rsidP="00F14011">
      <w:pPr>
        <w:shd w:val="clear" w:color="auto" w:fill="FFFFFF"/>
        <w:spacing w:after="0" w:line="240" w:lineRule="auto"/>
        <w:rPr>
          <w:rFonts w:ascii="Lato" w:eastAsia="Times New Roman" w:hAnsi="Lato" w:cs="Times New Roman"/>
          <w:color w:val="3D494C"/>
          <w:sz w:val="24"/>
          <w:szCs w:val="24"/>
        </w:rPr>
      </w:pPr>
      <w:r w:rsidRPr="00F14011">
        <w:rPr>
          <w:rFonts w:ascii="Lato" w:eastAsia="Times New Roman" w:hAnsi="Lato" w:cs="Times New Roman"/>
          <w:color w:val="3D494C"/>
          <w:sz w:val="24"/>
          <w:szCs w:val="24"/>
        </w:rPr>
        <w:t>References</w:t>
      </w:r>
    </w:p>
    <w:p w14:paraId="0923AFC0" w14:textId="77777777" w:rsidR="00F14011" w:rsidRPr="00F14011" w:rsidRDefault="00F14011" w:rsidP="00F14011">
      <w:pPr>
        <w:shd w:val="clear" w:color="auto" w:fill="FFFFFF"/>
        <w:spacing w:after="0" w:line="240" w:lineRule="auto"/>
        <w:rPr>
          <w:rFonts w:ascii="Lato" w:eastAsia="Times New Roman" w:hAnsi="Lato" w:cs="Times New Roman"/>
          <w:color w:val="3D494C"/>
          <w:sz w:val="24"/>
          <w:szCs w:val="24"/>
        </w:rPr>
      </w:pPr>
      <w:proofErr w:type="spellStart"/>
      <w:r w:rsidRPr="00F14011">
        <w:rPr>
          <w:rFonts w:ascii="Lato" w:eastAsia="Times New Roman" w:hAnsi="Lato" w:cs="Times New Roman"/>
          <w:color w:val="3D494C"/>
          <w:sz w:val="24"/>
          <w:szCs w:val="24"/>
        </w:rPr>
        <w:t>Bogers</w:t>
      </w:r>
      <w:proofErr w:type="spellEnd"/>
      <w:r w:rsidRPr="00F14011">
        <w:rPr>
          <w:rFonts w:ascii="Lato" w:eastAsia="Times New Roman" w:hAnsi="Lato" w:cs="Times New Roman"/>
          <w:color w:val="3D494C"/>
          <w:sz w:val="24"/>
          <w:szCs w:val="24"/>
        </w:rPr>
        <w:t>, M., Chesbrough, H., &amp; Strand, R. (2020). Sustainable open innovation to address a grand challenge: Lessons from Carlsberg and the Green Fiber Bottle.</w:t>
      </w:r>
      <w:r w:rsidRPr="00F14011">
        <w:rPr>
          <w:rFonts w:ascii="Lato" w:eastAsia="Times New Roman" w:hAnsi="Lato" w:cs="Times New Roman"/>
          <w:i/>
          <w:iCs/>
          <w:color w:val="3D494C"/>
          <w:sz w:val="24"/>
          <w:szCs w:val="24"/>
        </w:rPr>
        <w:t> British Food Journal, 122</w:t>
      </w:r>
      <w:r w:rsidRPr="00F14011">
        <w:rPr>
          <w:rFonts w:ascii="Lato" w:eastAsia="Times New Roman" w:hAnsi="Lato" w:cs="Times New Roman"/>
          <w:color w:val="3D494C"/>
          <w:sz w:val="24"/>
          <w:szCs w:val="24"/>
        </w:rPr>
        <w:t>(5), 1505-1517. http://dx.doi.org/10.1108/BFJ-07-2019-0534</w:t>
      </w:r>
    </w:p>
    <w:p w14:paraId="3919FD2A" w14:textId="77777777" w:rsidR="00F14011" w:rsidRPr="00F14011" w:rsidRDefault="00F14011" w:rsidP="00F14011">
      <w:pPr>
        <w:shd w:val="clear" w:color="auto" w:fill="FFFFFF"/>
        <w:spacing w:after="0" w:line="240" w:lineRule="auto"/>
        <w:rPr>
          <w:rFonts w:ascii="Lato" w:eastAsia="Times New Roman" w:hAnsi="Lato" w:cs="Times New Roman"/>
          <w:color w:val="3D494C"/>
          <w:sz w:val="24"/>
          <w:szCs w:val="24"/>
        </w:rPr>
      </w:pPr>
      <w:proofErr w:type="spellStart"/>
      <w:r w:rsidRPr="00F14011">
        <w:rPr>
          <w:rFonts w:ascii="Lato" w:eastAsia="Times New Roman" w:hAnsi="Lato" w:cs="Times New Roman"/>
          <w:color w:val="3D494C"/>
          <w:sz w:val="24"/>
          <w:szCs w:val="24"/>
        </w:rPr>
        <w:t>Pittz</w:t>
      </w:r>
      <w:proofErr w:type="spellEnd"/>
      <w:r w:rsidRPr="00F14011">
        <w:rPr>
          <w:rFonts w:ascii="Lato" w:eastAsia="Times New Roman" w:hAnsi="Lato" w:cs="Times New Roman"/>
          <w:color w:val="3D494C"/>
          <w:sz w:val="24"/>
          <w:szCs w:val="24"/>
        </w:rPr>
        <w:t>, T. G., Madden, L. T., &amp; Mayo, D. (2017). Catalyzing Social Innovation: Leveraging Compassion and Open Strategy in Social Entrepreneurship.</w:t>
      </w:r>
      <w:r w:rsidRPr="00F14011">
        <w:rPr>
          <w:rFonts w:ascii="Lato" w:eastAsia="Times New Roman" w:hAnsi="Lato" w:cs="Times New Roman"/>
          <w:i/>
          <w:iCs/>
          <w:color w:val="3D494C"/>
          <w:sz w:val="24"/>
          <w:szCs w:val="24"/>
        </w:rPr>
        <w:t> New England Journal of Entrepreneurship, 20</w:t>
      </w:r>
      <w:r w:rsidRPr="00F14011">
        <w:rPr>
          <w:rFonts w:ascii="Lato" w:eastAsia="Times New Roman" w:hAnsi="Lato" w:cs="Times New Roman"/>
          <w:color w:val="3D494C"/>
          <w:sz w:val="24"/>
          <w:szCs w:val="24"/>
        </w:rPr>
        <w:t>(2), 36-51. https://www.proquest.com/scholarly-journals/catalyzing-social-innovation-leveraging/docview/2078435143/se-2?accountid=32521</w:t>
      </w:r>
    </w:p>
    <w:p w14:paraId="351218BD" w14:textId="77777777" w:rsidR="00F14011" w:rsidRPr="00F14011" w:rsidRDefault="00F14011" w:rsidP="00F14011">
      <w:pPr>
        <w:shd w:val="clear" w:color="auto" w:fill="FFFFFF"/>
        <w:spacing w:after="0" w:line="240" w:lineRule="auto"/>
        <w:rPr>
          <w:rFonts w:ascii="Lato" w:eastAsia="Times New Roman" w:hAnsi="Lato" w:cs="Times New Roman"/>
          <w:color w:val="3D494C"/>
          <w:sz w:val="24"/>
          <w:szCs w:val="24"/>
        </w:rPr>
      </w:pPr>
      <w:r w:rsidRPr="00F14011">
        <w:rPr>
          <w:rFonts w:ascii="Lato" w:eastAsia="Times New Roman" w:hAnsi="Lato" w:cs="Times New Roman"/>
          <w:color w:val="3D494C"/>
          <w:sz w:val="24"/>
          <w:szCs w:val="24"/>
        </w:rPr>
        <w:t>USAID Goes Forward with Reforms to Focus on Efficiency and Innovation, Will Increase Local Investments. (2012). </w:t>
      </w:r>
      <w:r w:rsidRPr="00F14011">
        <w:rPr>
          <w:rFonts w:ascii="Lato" w:eastAsia="Times New Roman" w:hAnsi="Lato" w:cs="Times New Roman"/>
          <w:i/>
          <w:iCs/>
          <w:color w:val="3D494C"/>
          <w:sz w:val="24"/>
          <w:szCs w:val="24"/>
        </w:rPr>
        <w:t>Foreign Policy Bulletin, 22</w:t>
      </w:r>
      <w:r w:rsidRPr="00F14011">
        <w:rPr>
          <w:rFonts w:ascii="Lato" w:eastAsia="Times New Roman" w:hAnsi="Lato" w:cs="Times New Roman"/>
          <w:color w:val="3D494C"/>
          <w:sz w:val="24"/>
          <w:szCs w:val="24"/>
        </w:rPr>
        <w:t>(2), 32-41. http://dx.doi.org/10.1017/S1052703612000962</w:t>
      </w:r>
    </w:p>
    <w:p w14:paraId="179A3EB8" w14:textId="3A317E54" w:rsidR="00822469" w:rsidRDefault="00F14011">
      <w:r>
        <w:lastRenderedPageBreak/>
        <w:t>ERICA</w:t>
      </w:r>
    </w:p>
    <w:p w14:paraId="1C4B073C" w14:textId="77777777" w:rsidR="00F14011" w:rsidRPr="00F14011" w:rsidRDefault="00F14011" w:rsidP="00F14011">
      <w:pPr>
        <w:shd w:val="clear" w:color="auto" w:fill="FFFFFF"/>
        <w:spacing w:before="180" w:after="180" w:line="240" w:lineRule="auto"/>
        <w:rPr>
          <w:rFonts w:ascii="Lato" w:eastAsia="Times New Roman" w:hAnsi="Lato" w:cs="Times New Roman"/>
          <w:color w:val="3D494C"/>
          <w:sz w:val="24"/>
          <w:szCs w:val="24"/>
        </w:rPr>
      </w:pPr>
      <w:r w:rsidRPr="00F14011">
        <w:rPr>
          <w:rFonts w:ascii="Lato" w:eastAsia="Times New Roman" w:hAnsi="Lato" w:cs="Times New Roman"/>
          <w:color w:val="3D494C"/>
          <w:sz w:val="24"/>
          <w:szCs w:val="24"/>
        </w:rPr>
        <w:t xml:space="preserve">The role of the education system and how it pertains to encouraging innovation and entrepreneurship varies in its importance and structure. For example, when we look at the Balkan region, their way of encouraging varies to different degrees. Their educational systems are based on a traditional approach from the country, which means they teach others from communist/socialist views of education and society (Milic, 2003). By doing so, they lack efforts to promote or implement innovative education programs, which creates a barrier. When teachers want to step away from the traditional approach of teaching, the options are limited; therefore, it makes a small impact when being applied to encouraging innovation and entrepreneurship. Also, when some projects are created to help promote more innovation, the projects are only set for a year which doesn't allow enough time to make an impact, or teachers receive low budgets to fund (Milic, 2003). </w:t>
      </w:r>
      <w:proofErr w:type="gramStart"/>
      <w:r w:rsidRPr="00F14011">
        <w:rPr>
          <w:rFonts w:ascii="Lato" w:eastAsia="Times New Roman" w:hAnsi="Lato" w:cs="Times New Roman"/>
          <w:color w:val="3D494C"/>
          <w:sz w:val="24"/>
          <w:szCs w:val="24"/>
        </w:rPr>
        <w:t>So</w:t>
      </w:r>
      <w:proofErr w:type="gramEnd"/>
      <w:r w:rsidRPr="00F14011">
        <w:rPr>
          <w:rFonts w:ascii="Lato" w:eastAsia="Times New Roman" w:hAnsi="Lato" w:cs="Times New Roman"/>
          <w:color w:val="3D494C"/>
          <w:sz w:val="24"/>
          <w:szCs w:val="24"/>
        </w:rPr>
        <w:t xml:space="preserve"> you have teachers wanting to implement new changes and support their students when it comes to being entrepreneurs. They just have a lack of support from their </w:t>
      </w:r>
      <w:proofErr w:type="gramStart"/>
      <w:r w:rsidRPr="00F14011">
        <w:rPr>
          <w:rFonts w:ascii="Lato" w:eastAsia="Times New Roman" w:hAnsi="Lato" w:cs="Times New Roman"/>
          <w:color w:val="3D494C"/>
          <w:sz w:val="24"/>
          <w:szCs w:val="24"/>
        </w:rPr>
        <w:t>economies</w:t>
      </w:r>
      <w:proofErr w:type="gramEnd"/>
      <w:r w:rsidRPr="00F14011">
        <w:rPr>
          <w:rFonts w:ascii="Lato" w:eastAsia="Times New Roman" w:hAnsi="Lato" w:cs="Times New Roman"/>
          <w:color w:val="3D494C"/>
          <w:sz w:val="24"/>
          <w:szCs w:val="24"/>
        </w:rPr>
        <w:t xml:space="preserve"> government infrastructures. </w:t>
      </w:r>
    </w:p>
    <w:p w14:paraId="05614DA9" w14:textId="77777777" w:rsidR="00F14011" w:rsidRPr="00F14011" w:rsidRDefault="00F14011" w:rsidP="00F14011">
      <w:pPr>
        <w:shd w:val="clear" w:color="auto" w:fill="FFFFFF"/>
        <w:spacing w:before="180" w:after="180" w:line="240" w:lineRule="auto"/>
        <w:rPr>
          <w:rFonts w:ascii="Lato" w:eastAsia="Times New Roman" w:hAnsi="Lato" w:cs="Times New Roman"/>
          <w:color w:val="3D494C"/>
          <w:sz w:val="24"/>
          <w:szCs w:val="24"/>
        </w:rPr>
      </w:pPr>
      <w:r w:rsidRPr="00F14011">
        <w:rPr>
          <w:rFonts w:ascii="Lato" w:eastAsia="Times New Roman" w:hAnsi="Lato" w:cs="Times New Roman"/>
          <w:color w:val="3D494C"/>
          <w:sz w:val="24"/>
          <w:szCs w:val="24"/>
        </w:rPr>
        <w:t> </w:t>
      </w:r>
    </w:p>
    <w:p w14:paraId="00ECFD1A" w14:textId="77777777" w:rsidR="00F14011" w:rsidRPr="00F14011" w:rsidRDefault="00F14011" w:rsidP="00F14011">
      <w:pPr>
        <w:shd w:val="clear" w:color="auto" w:fill="FFFFFF"/>
        <w:spacing w:before="180" w:after="180" w:line="240" w:lineRule="auto"/>
        <w:rPr>
          <w:rFonts w:ascii="Lato" w:eastAsia="Times New Roman" w:hAnsi="Lato" w:cs="Times New Roman"/>
          <w:color w:val="3D494C"/>
          <w:sz w:val="24"/>
          <w:szCs w:val="24"/>
        </w:rPr>
      </w:pPr>
      <w:r w:rsidRPr="00F14011">
        <w:rPr>
          <w:rFonts w:ascii="Lato" w:eastAsia="Times New Roman" w:hAnsi="Lato" w:cs="Times New Roman"/>
          <w:color w:val="3D494C"/>
          <w:sz w:val="24"/>
          <w:szCs w:val="24"/>
        </w:rPr>
        <w:t>Education is a powerful social instrument and a huge factor that create tremendous potential for changes in the country and economy (Muneer, 2021). Developing this type of mindset creates open possibilities for those seeking the chance to utilize their knowledge and skills. In the case of the Balkan region, a program called the Step by Step was created because as a response to radical changes needing to be taking place. Step by Step is an innovative education model with a goal and mindset of reforming and improving the educational process and experience within the country to build a more effective sustainable economic gain (Milic, 2003). This new measure of reform would be applied at all levels of education, from preschool to university levels.</w:t>
      </w:r>
    </w:p>
    <w:p w14:paraId="1EB68479" w14:textId="77777777" w:rsidR="00F14011" w:rsidRPr="00F14011" w:rsidRDefault="00F14011" w:rsidP="00F14011">
      <w:pPr>
        <w:shd w:val="clear" w:color="auto" w:fill="FFFFFF"/>
        <w:spacing w:before="180" w:after="180" w:line="240" w:lineRule="auto"/>
        <w:rPr>
          <w:rFonts w:ascii="Lato" w:eastAsia="Times New Roman" w:hAnsi="Lato" w:cs="Times New Roman"/>
          <w:color w:val="3D494C"/>
          <w:sz w:val="24"/>
          <w:szCs w:val="24"/>
        </w:rPr>
      </w:pPr>
      <w:r w:rsidRPr="00F14011">
        <w:rPr>
          <w:rFonts w:ascii="Lato" w:eastAsia="Times New Roman" w:hAnsi="Lato" w:cs="Times New Roman"/>
          <w:color w:val="3D494C"/>
          <w:sz w:val="24"/>
          <w:szCs w:val="24"/>
        </w:rPr>
        <w:t> </w:t>
      </w:r>
    </w:p>
    <w:p w14:paraId="5B04C802" w14:textId="77777777" w:rsidR="00F14011" w:rsidRPr="00F14011" w:rsidRDefault="00F14011" w:rsidP="00F14011">
      <w:pPr>
        <w:shd w:val="clear" w:color="auto" w:fill="FFFFFF"/>
        <w:spacing w:before="180" w:after="180" w:line="240" w:lineRule="auto"/>
        <w:rPr>
          <w:rFonts w:ascii="Lato" w:eastAsia="Times New Roman" w:hAnsi="Lato" w:cs="Times New Roman"/>
          <w:color w:val="3D494C"/>
          <w:sz w:val="24"/>
          <w:szCs w:val="24"/>
        </w:rPr>
      </w:pPr>
      <w:r w:rsidRPr="00F14011">
        <w:rPr>
          <w:rFonts w:ascii="Lato" w:eastAsia="Times New Roman" w:hAnsi="Lato" w:cs="Times New Roman"/>
          <w:color w:val="3D494C"/>
          <w:sz w:val="24"/>
          <w:szCs w:val="24"/>
        </w:rPr>
        <w:t>References</w:t>
      </w:r>
    </w:p>
    <w:p w14:paraId="6179E6F4" w14:textId="77777777" w:rsidR="00F14011" w:rsidRPr="00F14011" w:rsidRDefault="00F14011" w:rsidP="00F14011">
      <w:pPr>
        <w:shd w:val="clear" w:color="auto" w:fill="FFFFFF"/>
        <w:spacing w:after="0" w:line="240" w:lineRule="auto"/>
        <w:rPr>
          <w:rFonts w:ascii="Lato" w:eastAsia="Times New Roman" w:hAnsi="Lato" w:cs="Times New Roman"/>
          <w:color w:val="3D494C"/>
          <w:sz w:val="24"/>
          <w:szCs w:val="24"/>
        </w:rPr>
      </w:pPr>
      <w:r w:rsidRPr="00F14011">
        <w:rPr>
          <w:rFonts w:ascii="Lato" w:eastAsia="Times New Roman" w:hAnsi="Lato" w:cs="Times New Roman"/>
          <w:color w:val="3D494C"/>
          <w:sz w:val="24"/>
          <w:szCs w:val="24"/>
        </w:rPr>
        <w:t>Milic, S. (2003). Innovations in the education system of countries in transition.</w:t>
      </w:r>
      <w:r w:rsidRPr="00F14011">
        <w:rPr>
          <w:rFonts w:ascii="Lato" w:eastAsia="Times New Roman" w:hAnsi="Lato" w:cs="Times New Roman"/>
          <w:i/>
          <w:iCs/>
          <w:color w:val="3D494C"/>
          <w:sz w:val="24"/>
          <w:szCs w:val="24"/>
        </w:rPr>
        <w:t> Childhood Education, 79</w:t>
      </w:r>
      <w:r w:rsidRPr="00F14011">
        <w:rPr>
          <w:rFonts w:ascii="Lato" w:eastAsia="Times New Roman" w:hAnsi="Lato" w:cs="Times New Roman"/>
          <w:color w:val="3D494C"/>
          <w:sz w:val="24"/>
          <w:szCs w:val="24"/>
        </w:rPr>
        <w:t>(6), 351. https://www.proquest.com/scholarly-journals/innovations-education-system-countries-transition/docview/210386380/se-2?accountid=32521</w:t>
      </w:r>
    </w:p>
    <w:p w14:paraId="1C9E084B" w14:textId="77777777" w:rsidR="00F14011" w:rsidRPr="00F14011" w:rsidRDefault="00F14011" w:rsidP="00F14011">
      <w:pPr>
        <w:shd w:val="clear" w:color="auto" w:fill="FFFFFF"/>
        <w:spacing w:after="0" w:line="240" w:lineRule="auto"/>
        <w:rPr>
          <w:rFonts w:ascii="Lato" w:eastAsia="Times New Roman" w:hAnsi="Lato" w:cs="Times New Roman"/>
          <w:color w:val="3D494C"/>
          <w:sz w:val="24"/>
          <w:szCs w:val="24"/>
        </w:rPr>
      </w:pPr>
      <w:r w:rsidRPr="00F14011">
        <w:rPr>
          <w:rFonts w:ascii="Lato" w:eastAsia="Times New Roman" w:hAnsi="Lato" w:cs="Times New Roman"/>
          <w:color w:val="3D494C"/>
          <w:sz w:val="24"/>
          <w:szCs w:val="24"/>
        </w:rPr>
        <w:t>Muneer, S. (2021). Women Empowerment, and Access to Education in Pakistan: Barriers within Home.</w:t>
      </w:r>
      <w:r w:rsidRPr="00F14011">
        <w:rPr>
          <w:rFonts w:ascii="Lato" w:eastAsia="Times New Roman" w:hAnsi="Lato" w:cs="Times New Roman"/>
          <w:i/>
          <w:iCs/>
          <w:color w:val="3D494C"/>
          <w:sz w:val="24"/>
          <w:szCs w:val="24"/>
        </w:rPr>
        <w:t> Journal of the Research Society of Pakistan, 58</w:t>
      </w:r>
      <w:r w:rsidRPr="00F14011">
        <w:rPr>
          <w:rFonts w:ascii="Lato" w:eastAsia="Times New Roman" w:hAnsi="Lato" w:cs="Times New Roman"/>
          <w:color w:val="3D494C"/>
          <w:sz w:val="24"/>
          <w:szCs w:val="24"/>
        </w:rPr>
        <w:t>(2), 32. https://www.proquest.com/scholarly-journals/women-empowerment-access-education-pakistan/docview/2506205722/se-2?accountid=32521</w:t>
      </w:r>
    </w:p>
    <w:p w14:paraId="17C82E7D" w14:textId="75B0DD11" w:rsidR="00F14011" w:rsidRDefault="00F14011"/>
    <w:p w14:paraId="1D1DBB61" w14:textId="51A55295" w:rsidR="00F14011" w:rsidRDefault="00F14011">
      <w:r>
        <w:t>ALBERTA</w:t>
      </w:r>
    </w:p>
    <w:p w14:paraId="6BA8B0B8" w14:textId="77777777" w:rsidR="00F14011" w:rsidRDefault="00F14011" w:rsidP="00F14011">
      <w:pPr>
        <w:pStyle w:val="NormalWeb"/>
        <w:shd w:val="clear" w:color="auto" w:fill="FFFFFF"/>
        <w:spacing w:before="180" w:beforeAutospacing="0" w:after="180" w:afterAutospacing="0"/>
        <w:rPr>
          <w:rFonts w:ascii="Lato" w:hAnsi="Lato"/>
          <w:color w:val="3D494C"/>
        </w:rPr>
      </w:pPr>
      <w:r>
        <w:rPr>
          <w:rFonts w:ascii="Lato" w:hAnsi="Lato"/>
          <w:color w:val="3D494C"/>
        </w:rPr>
        <w:t xml:space="preserve">Challenges associated with leveraging innovation and entrepreneurship into sustainable economic gains are a real dilemma that requires strategic planning and strong leadership. Challenges must be addressed to sustain economic growth by resolving conflicts and acknowledging that progress has not been equal and sufficient (Ban, 2013). Global </w:t>
      </w:r>
      <w:r>
        <w:rPr>
          <w:rFonts w:ascii="Lato" w:hAnsi="Lato"/>
          <w:color w:val="3D494C"/>
        </w:rPr>
        <w:lastRenderedPageBreak/>
        <w:t>sustainability amongst world leaders led to the development of the United Nations Millennium Declaration. The United Nations Millennium Declaration provides the framework for developing initiatives to support its goal to shape the global vision and to manage the planet’s natural resources for the benefit of all (Ban, 2013).</w:t>
      </w:r>
    </w:p>
    <w:p w14:paraId="419082BF" w14:textId="77777777" w:rsidR="00F14011" w:rsidRDefault="00F14011" w:rsidP="00F14011">
      <w:pPr>
        <w:pStyle w:val="NormalWeb"/>
        <w:shd w:val="clear" w:color="auto" w:fill="FFFFFF"/>
        <w:spacing w:before="180" w:beforeAutospacing="0" w:after="180" w:afterAutospacing="0"/>
        <w:rPr>
          <w:rFonts w:ascii="Lato" w:hAnsi="Lato"/>
          <w:color w:val="3D494C"/>
        </w:rPr>
      </w:pPr>
      <w:r>
        <w:rPr>
          <w:rFonts w:ascii="Lato" w:hAnsi="Lato"/>
          <w:color w:val="3D494C"/>
        </w:rPr>
        <w:t>The United Nations' primary purpose is to deal with the global challenges of reducing poverty, combat the spread of diseases, and provide universal primary education (United Nations, 2015). Strategic planning and leadership are needed to help leverage these developments, to ensure sustainability, accelerate progress, and ensure economic achievements. Strategic planning is crucial in the eradication of extreme poverty, promoting sustainable consumption, and production. Strong leadership is imperative to align strategic steps needed to Improve environmental conditions, increase enrolment in primary education, and ensure advancement for women.</w:t>
      </w:r>
    </w:p>
    <w:p w14:paraId="5FF4B59F" w14:textId="77777777" w:rsidR="00F14011" w:rsidRDefault="00F14011" w:rsidP="00F14011">
      <w:pPr>
        <w:pStyle w:val="NormalWeb"/>
        <w:shd w:val="clear" w:color="auto" w:fill="FFFFFF"/>
        <w:spacing w:before="180" w:beforeAutospacing="0" w:after="180" w:afterAutospacing="0"/>
        <w:rPr>
          <w:rFonts w:ascii="Lato" w:hAnsi="Lato"/>
          <w:color w:val="3D494C"/>
        </w:rPr>
      </w:pPr>
      <w:r>
        <w:rPr>
          <w:rFonts w:ascii="Lato" w:hAnsi="Lato"/>
          <w:color w:val="3D494C"/>
        </w:rPr>
        <w:t>The positive impacts contributed to foreign aid and investment have influenced the development of innovation and entrepreneurship by regions and global communities. Both foreign aid and investments engagements help uplift large segments of the poor and vulnerable and promote regional change in extreme conditions of poverty. The development of programs and other services create entrepreneurial opportunities to better serve the poor and help them with the ability to participate in the economic system, maintain consumption, and acquire education and a better standard of living.</w:t>
      </w:r>
    </w:p>
    <w:p w14:paraId="49E8859A" w14:textId="77777777" w:rsidR="00F14011" w:rsidRDefault="00F14011" w:rsidP="00F14011">
      <w:pPr>
        <w:pStyle w:val="NormalWeb"/>
        <w:shd w:val="clear" w:color="auto" w:fill="FFFFFF"/>
        <w:spacing w:before="180" w:beforeAutospacing="0" w:after="180" w:afterAutospacing="0"/>
        <w:rPr>
          <w:rFonts w:ascii="Lato" w:hAnsi="Lato"/>
          <w:color w:val="3D494C"/>
        </w:rPr>
      </w:pPr>
      <w:r>
        <w:rPr>
          <w:rFonts w:ascii="Lato" w:hAnsi="Lato"/>
          <w:color w:val="3D494C"/>
        </w:rPr>
        <w:t>The development of a continuous cycle of development needs strategic planning to align with the growing change in demographics, economics, social dynamics, advancing technology, and environmental living conditions. The strategic planning must be concise to guide the innovation process. Innovations are one of the most important aspects of organizational growth and sustainability.</w:t>
      </w:r>
    </w:p>
    <w:p w14:paraId="785A53E9" w14:textId="77777777" w:rsidR="00F14011" w:rsidRDefault="00F14011" w:rsidP="00F14011">
      <w:pPr>
        <w:pStyle w:val="NormalWeb"/>
        <w:shd w:val="clear" w:color="auto" w:fill="FFFFFF"/>
        <w:spacing w:before="180" w:beforeAutospacing="0" w:after="180" w:afterAutospacing="0"/>
        <w:rPr>
          <w:rFonts w:ascii="Lato" w:hAnsi="Lato"/>
          <w:color w:val="3D494C"/>
        </w:rPr>
      </w:pPr>
      <w:r>
        <w:rPr>
          <w:rFonts w:ascii="Lato" w:hAnsi="Lato"/>
          <w:color w:val="3D494C"/>
        </w:rPr>
        <w:t> </w:t>
      </w:r>
    </w:p>
    <w:p w14:paraId="3C521239" w14:textId="77777777" w:rsidR="00F14011" w:rsidRDefault="00F14011" w:rsidP="00F14011">
      <w:pPr>
        <w:pStyle w:val="NormalWeb"/>
        <w:shd w:val="clear" w:color="auto" w:fill="FFFFFF"/>
        <w:spacing w:before="180" w:beforeAutospacing="0" w:after="0" w:afterAutospacing="0"/>
        <w:rPr>
          <w:rFonts w:ascii="Lato" w:hAnsi="Lato"/>
          <w:color w:val="3D494C"/>
        </w:rPr>
      </w:pPr>
      <w:r>
        <w:rPr>
          <w:rStyle w:val="Strong"/>
          <w:rFonts w:ascii="Lato" w:hAnsi="Lato"/>
          <w:color w:val="3D494C"/>
        </w:rPr>
        <w:t>Reference</w:t>
      </w:r>
    </w:p>
    <w:p w14:paraId="3391E2DC" w14:textId="77777777" w:rsidR="00F14011" w:rsidRDefault="00F14011" w:rsidP="00F14011">
      <w:pPr>
        <w:pStyle w:val="NormalWeb"/>
        <w:shd w:val="clear" w:color="auto" w:fill="FFFFFF"/>
        <w:spacing w:before="180" w:beforeAutospacing="0" w:after="180" w:afterAutospacing="0"/>
        <w:rPr>
          <w:rFonts w:ascii="Lato" w:hAnsi="Lato"/>
          <w:color w:val="3D494C"/>
        </w:rPr>
      </w:pPr>
      <w:r>
        <w:rPr>
          <w:rFonts w:ascii="Lato" w:hAnsi="Lato"/>
          <w:color w:val="3D494C"/>
        </w:rPr>
        <w:t>Ban, K. (2013). Sustainable Development Challenges. https://sustainabledevelopment.un.org/content/documents/2843WESS2013.pdf</w:t>
      </w:r>
    </w:p>
    <w:p w14:paraId="7EB8D6B4" w14:textId="77777777" w:rsidR="00F14011" w:rsidRDefault="00F14011" w:rsidP="00F14011">
      <w:pPr>
        <w:pStyle w:val="NormalWeb"/>
        <w:shd w:val="clear" w:color="auto" w:fill="FFFFFF"/>
        <w:spacing w:before="180" w:beforeAutospacing="0" w:after="0" w:afterAutospacing="0"/>
        <w:rPr>
          <w:rFonts w:ascii="Lato" w:hAnsi="Lato"/>
          <w:color w:val="3D494C"/>
        </w:rPr>
      </w:pPr>
      <w:r>
        <w:rPr>
          <w:rFonts w:ascii="Lato" w:hAnsi="Lato"/>
          <w:color w:val="3D494C"/>
        </w:rPr>
        <w:t>United Nations. (2015). We Can End Poverty. https://www.un.org/millenniumgoals/bkgd.shtml</w:t>
      </w:r>
    </w:p>
    <w:p w14:paraId="4E5DF412" w14:textId="77777777" w:rsidR="00F14011" w:rsidRDefault="00F14011"/>
    <w:sectPr w:rsidR="00F140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011"/>
    <w:rsid w:val="00822469"/>
    <w:rsid w:val="00F14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1A55C"/>
  <w15:chartTrackingRefBased/>
  <w15:docId w15:val="{BEBD54DA-D703-4AE9-AACB-D3726DD5C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1401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140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768753">
      <w:bodyDiv w:val="1"/>
      <w:marLeft w:val="0"/>
      <w:marRight w:val="0"/>
      <w:marTop w:val="0"/>
      <w:marBottom w:val="0"/>
      <w:divBdr>
        <w:top w:val="none" w:sz="0" w:space="0" w:color="auto"/>
        <w:left w:val="none" w:sz="0" w:space="0" w:color="auto"/>
        <w:bottom w:val="none" w:sz="0" w:space="0" w:color="auto"/>
        <w:right w:val="none" w:sz="0" w:space="0" w:color="auto"/>
      </w:divBdr>
    </w:div>
    <w:div w:id="1961108449">
      <w:bodyDiv w:val="1"/>
      <w:marLeft w:val="0"/>
      <w:marRight w:val="0"/>
      <w:marTop w:val="0"/>
      <w:marBottom w:val="0"/>
      <w:divBdr>
        <w:top w:val="none" w:sz="0" w:space="0" w:color="auto"/>
        <w:left w:val="none" w:sz="0" w:space="0" w:color="auto"/>
        <w:bottom w:val="none" w:sz="0" w:space="0" w:color="auto"/>
        <w:right w:val="none" w:sz="0" w:space="0" w:color="auto"/>
      </w:divBdr>
    </w:div>
    <w:div w:id="1982802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1182</Words>
  <Characters>6739</Characters>
  <Application>Microsoft Office Word</Application>
  <DocSecurity>0</DocSecurity>
  <Lines>56</Lines>
  <Paragraphs>15</Paragraphs>
  <ScaleCrop>false</ScaleCrop>
  <Company/>
  <LinksUpToDate>false</LinksUpToDate>
  <CharactersWithSpaces>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2021-10-15T14:05:00Z</dcterms:created>
  <dcterms:modified xsi:type="dcterms:W3CDTF">2021-10-15T14:07:00Z</dcterms:modified>
</cp:coreProperties>
</file>