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before="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Kenney </w:t>
      </w:r>
    </w:p>
    <w:p w:rsidR="00000000" w:rsidDel="00000000" w:rsidP="00000000" w:rsidRDefault="00000000" w:rsidRPr="00000000" w14:paraId="00000002">
      <w:pPr>
        <w:shd w:fill="ffffff" w:val="clear"/>
        <w:spacing w:after="280" w:before="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 7150 </w:t>
      </w:r>
    </w:p>
    <w:p w:rsidR="00000000" w:rsidDel="00000000" w:rsidP="00000000" w:rsidRDefault="00000000" w:rsidRPr="00000000" w14:paraId="00000003">
      <w:pPr>
        <w:shd w:fill="ffffff" w:val="clear"/>
        <w:spacing w:after="280" w:before="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7, 2021</w:t>
      </w:r>
    </w:p>
    <w:p w:rsidR="00000000" w:rsidDel="00000000" w:rsidP="00000000" w:rsidRDefault="00000000" w:rsidRPr="00000000" w14:paraId="00000004">
      <w:pPr>
        <w:shd w:fill="ffffff" w:val="clear"/>
        <w:spacing w:after="280" w:before="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hd w:fill="ffffff" w:val="clear"/>
        <w:spacing w:after="280" w:before="140" w:line="48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Social Workers Discretion </w:t>
      </w:r>
    </w:p>
    <w:p w:rsidR="00000000" w:rsidDel="00000000" w:rsidP="00000000" w:rsidRDefault="00000000" w:rsidRPr="00000000" w14:paraId="00000006">
      <w:pPr>
        <w:shd w:fill="ffffff" w:val="clear"/>
        <w:spacing w:after="280" w:before="140" w:line="480" w:lineRule="auto"/>
        <w:ind w:firstLine="7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hd w:fill="ffffff" w:val="clear"/>
        <w:spacing w:after="280" w:before="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Street-level bureaucrats have times when making decisions based on stereotypes or the social construction of the clients they serve.  Particularly in law enforcement roles, stereotypes are a known factor when it comes to decision-making. Police officers over the years have stereotyped African Americans, which leads to deadly results. For example, judges sentencing African Americans and Latinos with higher sentences. I agree with the assertion that there is evidence that some street-level bureaucrats have been known to stereotype citizens but in other occupations, it’s the opposite. According to Lipsky, street-level bureaucrats are taught to observe their environments.  Their conceptions of clients tend to be consistent with perspectives that exonerate them from responsibility for clients’ fate (Lipsky, 115). In this paper, we will access whether street-level bureaucrats based their decisions on stereotypes or the social construction of their clients.  </w:t>
      </w:r>
    </w:p>
    <w:p w:rsidR="00000000" w:rsidDel="00000000" w:rsidP="00000000" w:rsidRDefault="00000000" w:rsidRPr="00000000" w14:paraId="00000008">
      <w:pPr>
        <w:shd w:fill="ffffff" w:val="clear"/>
        <w:spacing w:after="280" w:before="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street-level bureaucrats have been known to have a bias against the clients they serve. They are particularly inclined to believe that experience provides the basis for knowledge in assessing the client world (Lipsy, 115).  Bias has tended to be race-related, social-economic status, or gender. The list goes on when it comes to being stereotyped as a citizen. In particular, social workers are street-level bureaucrats whose occupation requires them to work with their clients on a face to face basis allowing more room for stereotypes to be analyzed. Bias in The Social Work Dictionary is defined as “an attitude that can influence feelings, usually resulting in an individual having positive or negative predispositions about a particular group, individual, or object” (</w:t>
      </w:r>
      <w:r w:rsidDel="00000000" w:rsidR="00000000" w:rsidRPr="00000000">
        <w:rPr>
          <w:rFonts w:ascii="Times New Roman" w:cs="Times New Roman" w:eastAsia="Times New Roman" w:hAnsi="Times New Roman"/>
          <w:sz w:val="24"/>
          <w:szCs w:val="24"/>
          <w:rtl w:val="0"/>
        </w:rPr>
        <w:t xml:space="preserve">Howard, S. (2020). </w:t>
      </w:r>
      <w:r w:rsidDel="00000000" w:rsidR="00000000" w:rsidRPr="00000000">
        <w:rPr>
          <w:rtl w:val="0"/>
        </w:rPr>
      </w:r>
    </w:p>
    <w:p w:rsidR="00000000" w:rsidDel="00000000" w:rsidP="00000000" w:rsidRDefault="00000000" w:rsidRPr="00000000" w14:paraId="00000009">
      <w:pPr>
        <w:shd w:fill="ffffff" w:val="clear"/>
        <w:spacing w:after="280" w:before="14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Social workers are documented to have a  history of social justice advocacy in socially, economically, and politically disadvantaged communities (Swenson, C.R (1998). </w:t>
      </w:r>
      <w:r w:rsidDel="00000000" w:rsidR="00000000" w:rsidRPr="00000000">
        <w:rPr>
          <w:rFonts w:ascii="Times New Roman" w:cs="Times New Roman" w:eastAsia="Times New Roman" w:hAnsi="Times New Roman"/>
          <w:sz w:val="24"/>
          <w:szCs w:val="24"/>
          <w:rtl w:val="0"/>
        </w:rPr>
        <w:t xml:space="preserve"> Social workers implement policies to promote change in their client’s lives. Social workers </w:t>
      </w:r>
      <w:r w:rsidDel="00000000" w:rsidR="00000000" w:rsidRPr="00000000">
        <w:rPr>
          <w:rFonts w:ascii="Times New Roman" w:cs="Times New Roman" w:eastAsia="Times New Roman" w:hAnsi="Times New Roman"/>
          <w:sz w:val="24"/>
          <w:szCs w:val="24"/>
          <w:highlight w:val="white"/>
          <w:rtl w:val="0"/>
        </w:rPr>
        <w:t xml:space="preserve">promote their client’s interests, health, and their legal interest. SLBs also often side with individual clients but in a more hidden, less principled, and thus possibly more arbitrary way (</w:t>
      </w:r>
      <w:r w:rsidDel="00000000" w:rsidR="00000000" w:rsidRPr="00000000">
        <w:rPr>
          <w:rFonts w:ascii="Times New Roman" w:cs="Times New Roman" w:eastAsia="Times New Roman" w:hAnsi="Times New Roman"/>
          <w:sz w:val="24"/>
          <w:szCs w:val="24"/>
          <w:rtl w:val="0"/>
        </w:rPr>
        <w:t xml:space="preserve">Trappenburg,</w:t>
      </w:r>
      <w:r w:rsidDel="00000000" w:rsidR="00000000" w:rsidRPr="00000000">
        <w:rPr>
          <w:rFonts w:ascii="Times New Roman" w:cs="Times New Roman" w:eastAsia="Times New Roman" w:hAnsi="Times New Roman"/>
          <w:sz w:val="24"/>
          <w:szCs w:val="24"/>
          <w:highlight w:val="white"/>
          <w:rtl w:val="0"/>
        </w:rPr>
        <w:t xml:space="preserve"> 2020, Pages 1669–168).  Most Social workers serve clients that are non-voluntary and need governmental assistance. </w:t>
      </w:r>
      <w:r w:rsidDel="00000000" w:rsidR="00000000" w:rsidRPr="00000000">
        <w:rPr>
          <w:rFonts w:ascii="Times New Roman" w:cs="Times New Roman" w:eastAsia="Times New Roman" w:hAnsi="Times New Roman"/>
          <w:sz w:val="24"/>
          <w:szCs w:val="24"/>
          <w:highlight w:val="white"/>
          <w:rtl w:val="0"/>
        </w:rPr>
        <w:t xml:space="preserve">A social worker helps people cope with challenges in their lives. From individuals needing help with a wide range of life-altering situations. For example, child and family social workers. Most more affected or individuals who are classified as low-income citizens. The public agencies in their communities provide resources for the poor to receive treatment from the state. SLB’s like social workers provide poor clients different treatment in comparison to those serving more affluent people entirely on the basis that poor people are much more dependent on these agencies ( Lipsky, 55). </w:t>
      </w:r>
    </w:p>
    <w:p w:rsidR="00000000" w:rsidDel="00000000" w:rsidP="00000000" w:rsidRDefault="00000000" w:rsidRPr="00000000" w14:paraId="0000000A">
      <w:pPr>
        <w:shd w:fill="ffffff" w:val="clear"/>
        <w:spacing w:after="280" w:before="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workers who focus on child and family social services have to interact with families who may live in unsafe environments. Their role requires them to go into the homes of their clients to assess the danger a child may be placed in. </w:t>
      </w:r>
      <w:r w:rsidDel="00000000" w:rsidR="00000000" w:rsidRPr="00000000">
        <w:rPr>
          <w:rFonts w:ascii="Times New Roman" w:cs="Times New Roman" w:eastAsia="Times New Roman" w:hAnsi="Times New Roman"/>
          <w:sz w:val="24"/>
          <w:szCs w:val="24"/>
          <w:highlight w:val="white"/>
          <w:rtl w:val="0"/>
        </w:rPr>
        <w:t xml:space="preserve">Social workers regularly make high-risk, high-impact decisions: determining that a child has been abused; that an individual may take their own life; or that someone with a history of violence poses harm to another (</w:t>
      </w:r>
      <w:r w:rsidDel="00000000" w:rsidR="00000000" w:rsidRPr="00000000">
        <w:rPr>
          <w:rFonts w:ascii="Times New Roman" w:cs="Times New Roman" w:eastAsia="Times New Roman" w:hAnsi="Times New Roman"/>
          <w:sz w:val="24"/>
          <w:szCs w:val="24"/>
          <w:rtl w:val="0"/>
        </w:rPr>
        <w:t xml:space="preserve">Cheryl Regehr. (2018). </w:t>
      </w:r>
      <w:r w:rsidDel="00000000" w:rsidR="00000000" w:rsidRPr="00000000">
        <w:rPr>
          <w:rFonts w:ascii="Times New Roman" w:cs="Times New Roman" w:eastAsia="Times New Roman" w:hAnsi="Times New Roman"/>
          <w:sz w:val="24"/>
          <w:szCs w:val="24"/>
          <w:highlight w:val="white"/>
          <w:rtl w:val="0"/>
        </w:rPr>
        <w:t xml:space="preserve">They have to go into neighborhoods that are not the safest and use their discretion on removing children from unstable homes. Using discretion should not be hindered by the social worker’s personal bias but based on the training they received to assess risk. Proper training and supervision support social workers in responding to clients. Clients who identify as citizens are considered a lower class with empathy and validation and without minimizing, dismissing, or rationalizing their negative experiences onto their clients (</w:t>
      </w:r>
      <w:r w:rsidDel="00000000" w:rsidR="00000000" w:rsidRPr="00000000">
        <w:rPr>
          <w:rFonts w:ascii="Times New Roman" w:cs="Times New Roman" w:eastAsia="Times New Roman" w:hAnsi="Times New Roman"/>
          <w:sz w:val="24"/>
          <w:szCs w:val="24"/>
          <w:rtl w:val="0"/>
        </w:rPr>
        <w:t xml:space="preserve">Howard, S. (2020). Being able to use clinical judgment in high risk situations social workers have to rely on their training . The training stems from knowledge learned in education, experience, and problem-solving capabilities in past examples. This can sometimes bring fear in social workers wondering if they're making the wrong decision that can affect trust with clients. </w:t>
      </w:r>
    </w:p>
    <w:p w:rsidR="00000000" w:rsidDel="00000000" w:rsidP="00000000" w:rsidRDefault="00000000" w:rsidRPr="00000000" w14:paraId="0000000B">
      <w:pPr>
        <w:shd w:fill="ffffff" w:val="clear"/>
        <w:spacing w:after="280" w:before="1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workers have to build a strong foundation with their clients. Trust builds openness that allows social workers to have open communication. </w:t>
      </w:r>
      <w:r w:rsidDel="00000000" w:rsidR="00000000" w:rsidRPr="00000000">
        <w:rPr>
          <w:rFonts w:ascii="Times New Roman" w:cs="Times New Roman" w:eastAsia="Times New Roman" w:hAnsi="Times New Roman"/>
          <w:color w:val="202124"/>
          <w:sz w:val="24"/>
          <w:szCs w:val="24"/>
          <w:highlight w:val="white"/>
          <w:rtl w:val="0"/>
        </w:rPr>
        <w:t xml:space="preserve">Social workers who particularly work with children and families have to assist in abuse and neglect investigations and help place children in safe environments.  Street-level bureaucrats hold their own views that may affect their decision and how they provide a quality of service. In other words, patterns of practice, a conception of the job, and conceptions of the clients must fit together if street-level bureaucrats are to resolve work contradictions successfully (Lipsky, 155). Social worker clients see unfairness in situations where children have to be removed from neglectful parents. While street-level bureaucrats see a rational solution when it comes to placing children in a safe and stable environment.</w:t>
      </w:r>
      <w:r w:rsidDel="00000000" w:rsidR="00000000" w:rsidRPr="00000000">
        <w:rPr>
          <w:rtl w:val="0"/>
        </w:rPr>
      </w:r>
    </w:p>
    <w:p w:rsidR="00000000" w:rsidDel="00000000" w:rsidP="00000000" w:rsidRDefault="00000000" w:rsidRPr="00000000" w14:paraId="0000000C">
      <w:pPr>
        <w:shd w:fill="ffffff" w:val="clear"/>
        <w:spacing w:after="280" w:before="140"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280" w:before="140" w:line="480" w:lineRule="auto"/>
        <w:ind w:firstLine="720"/>
        <w:jc w:val="center"/>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References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5f5f5" w:val="clear"/>
        <w:spacing w:after="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Cheryl Regehr. (2018). </w:t>
      </w:r>
      <w:r w:rsidDel="00000000" w:rsidR="00000000" w:rsidRPr="00000000">
        <w:rPr>
          <w:rFonts w:ascii="Times New Roman" w:cs="Times New Roman" w:eastAsia="Times New Roman" w:hAnsi="Times New Roman"/>
          <w:i w:val="1"/>
          <w:sz w:val="24"/>
          <w:szCs w:val="24"/>
          <w:rtl w:val="0"/>
        </w:rPr>
        <w:t xml:space="preserve">Stress, Trauma, and Decision-Making for Social Workers</w:t>
      </w:r>
      <w:r w:rsidDel="00000000" w:rsidR="00000000" w:rsidRPr="00000000">
        <w:rPr>
          <w:rFonts w:ascii="Times New Roman" w:cs="Times New Roman" w:eastAsia="Times New Roman" w:hAnsi="Times New Roman"/>
          <w:sz w:val="24"/>
          <w:szCs w:val="24"/>
          <w:rtl w:val="0"/>
        </w:rPr>
        <w:t xml:space="preserve">. Columbia University Press.</w:t>
      </w:r>
    </w:p>
    <w:p w:rsidR="00000000" w:rsidDel="00000000" w:rsidP="00000000" w:rsidRDefault="00000000" w:rsidRPr="00000000" w14:paraId="0000000F">
      <w:pPr>
        <w:pBdr>
          <w:top w:color="auto" w:space="0" w:sz="0" w:val="none"/>
          <w:bottom w:color="auto" w:space="0" w:sz="0" w:val="none"/>
          <w:right w:color="auto" w:space="0" w:sz="0" w:val="none"/>
          <w:between w:color="auto" w:space="0" w:sz="0" w:val="none"/>
        </w:pBdr>
        <w:shd w:fill="f5f5f5" w:val="clea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Howard, S. (2020). The Black Perspective in Clinical Social Work. </w:t>
      </w:r>
      <w:r w:rsidDel="00000000" w:rsidR="00000000" w:rsidRPr="00000000">
        <w:rPr>
          <w:rFonts w:ascii="Times New Roman" w:cs="Times New Roman" w:eastAsia="Times New Roman" w:hAnsi="Times New Roman"/>
          <w:i w:val="1"/>
          <w:sz w:val="24"/>
          <w:szCs w:val="24"/>
          <w:rtl w:val="0"/>
        </w:rPr>
        <w:t xml:space="preserve">Clinical Social Work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48</w:t>
      </w:r>
      <w:r w:rsidDel="00000000" w:rsidR="00000000" w:rsidRPr="00000000">
        <w:rPr>
          <w:rFonts w:ascii="Times New Roman" w:cs="Times New Roman" w:eastAsia="Times New Roman" w:hAnsi="Times New Roman"/>
          <w:sz w:val="24"/>
          <w:szCs w:val="24"/>
          <w:rtl w:val="0"/>
        </w:rPr>
        <w:t xml:space="preserve">(4), 335–342. https://doi.org/10.1007/s10615-018-0663-8</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Swenson, C. R. (1998). Clinical social work’s contribution to a social justice perspective. Social Work, 43(6), 527–537.</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Margo Trappenburg, Thomas Kampen, Evelien Tonkens, Social Workers in a Modernising Welfare State: Professionals or Street-Level Bureaucrats?, </w:t>
      </w:r>
      <w:r w:rsidDel="00000000" w:rsidR="00000000" w:rsidRPr="00000000">
        <w:rPr>
          <w:rFonts w:ascii="Times New Roman" w:cs="Times New Roman" w:eastAsia="Times New Roman" w:hAnsi="Times New Roman"/>
          <w:i w:val="1"/>
          <w:sz w:val="24"/>
          <w:szCs w:val="24"/>
          <w:rtl w:val="0"/>
        </w:rPr>
        <w:t xml:space="preserve">The British Journal of Social Work</w:t>
      </w:r>
      <w:r w:rsidDel="00000000" w:rsidR="00000000" w:rsidRPr="00000000">
        <w:rPr>
          <w:rFonts w:ascii="Times New Roman" w:cs="Times New Roman" w:eastAsia="Times New Roman" w:hAnsi="Times New Roman"/>
          <w:sz w:val="24"/>
          <w:szCs w:val="24"/>
          <w:rtl w:val="0"/>
        </w:rPr>
        <w:t xml:space="preserve">, Volume 50, Issue 6, September 2020, Pages 1669–1687, </w:t>
      </w:r>
      <w:hyperlink r:id="rId6">
        <w:r w:rsidDel="00000000" w:rsidR="00000000" w:rsidRPr="00000000">
          <w:rPr>
            <w:rFonts w:ascii="Times New Roman" w:cs="Times New Roman" w:eastAsia="Times New Roman" w:hAnsi="Times New Roman"/>
            <w:sz w:val="24"/>
            <w:szCs w:val="24"/>
            <w:rtl w:val="0"/>
          </w:rPr>
          <w:t xml:space="preserve">https://doi.org/10.1093/bjsw/bcz120</w:t>
        </w:r>
      </w:hyperlink>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hd w:fill="eeeeee" w:val="clear"/>
        <w:spacing w:after="300" w:before="6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Harrits, G. S. (2019). Stereotypes in Context: How and When Do Street‐Level Bureaucrats Use Class Stereotypes? </w:t>
      </w:r>
      <w:r w:rsidDel="00000000" w:rsidR="00000000" w:rsidRPr="00000000">
        <w:rPr>
          <w:rFonts w:ascii="Times New Roman" w:cs="Times New Roman" w:eastAsia="Times New Roman" w:hAnsi="Times New Roman"/>
          <w:i w:val="1"/>
          <w:sz w:val="24"/>
          <w:szCs w:val="24"/>
          <w:rtl w:val="0"/>
        </w:rPr>
        <w:t xml:space="preserve">Public Administration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79</w:t>
      </w:r>
      <w:r w:rsidDel="00000000" w:rsidR="00000000" w:rsidRPr="00000000">
        <w:rPr>
          <w:rFonts w:ascii="Times New Roman" w:cs="Times New Roman" w:eastAsia="Times New Roman" w:hAnsi="Times New Roman"/>
          <w:sz w:val="24"/>
          <w:szCs w:val="24"/>
          <w:rtl w:val="0"/>
        </w:rPr>
        <w:t xml:space="preserve">(1), 93–103. https://doi.org/10.1111/puar.12952</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Lipsky, Michael (2010). </w:t>
      </w:r>
      <w:r w:rsidDel="00000000" w:rsidR="00000000" w:rsidRPr="00000000">
        <w:rPr>
          <w:rFonts w:ascii="Times New Roman" w:cs="Times New Roman" w:eastAsia="Times New Roman" w:hAnsi="Times New Roman"/>
          <w:i w:val="1"/>
          <w:sz w:val="24"/>
          <w:szCs w:val="24"/>
          <w:rtl w:val="0"/>
        </w:rPr>
        <w:t xml:space="preserve">Street-Level Bureaucracy: Dilemmas of the Individual in Public Service</w:t>
      </w:r>
      <w:r w:rsidDel="00000000" w:rsidR="00000000" w:rsidRPr="00000000">
        <w:rPr>
          <w:rFonts w:ascii="Times New Roman" w:cs="Times New Roman" w:eastAsia="Times New Roman" w:hAnsi="Times New Roman"/>
          <w:sz w:val="24"/>
          <w:szCs w:val="24"/>
          <w:rtl w:val="0"/>
        </w:rPr>
        <w:t xml:space="preserve">. 30th Anniversary Expanded Edition. Russell Sage.</w:t>
      </w:r>
    </w:p>
    <w:p w:rsidR="00000000" w:rsidDel="00000000" w:rsidP="00000000" w:rsidRDefault="00000000" w:rsidRPr="00000000" w14:paraId="0000001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hd w:fill="ffffff" w:val="clear"/>
        <w:spacing w:after="280" w:before="140" w:line="480" w:lineRule="auto"/>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hd w:fill="ffffff" w:val="clear"/>
        <w:spacing w:after="280" w:before="1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hd w:fill="ffffff" w:val="clear"/>
        <w:spacing w:after="280" w:before="1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hd w:fill="ffffff" w:val="clear"/>
        <w:spacing w:after="280" w:before="140" w:line="480" w:lineRule="auto"/>
        <w:ind w:firstLine="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93/bjsw/bcz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