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B32A8" w14:textId="77777777" w:rsidR="005F5843" w:rsidRPr="001A2D15" w:rsidRDefault="005F5843" w:rsidP="005F5843">
      <w:pPr>
        <w:shd w:val="clear" w:color="auto" w:fill="FFFFFF"/>
        <w:spacing w:before="140" w:after="280" w:line="480" w:lineRule="auto"/>
        <w:ind w:firstLine="720"/>
        <w:jc w:val="center"/>
        <w:rPr>
          <w:rFonts w:ascii="Times New Roman" w:eastAsia="Times New Roman" w:hAnsi="Times New Roman" w:cs="Times New Roman"/>
          <w:sz w:val="24"/>
          <w:szCs w:val="24"/>
        </w:rPr>
      </w:pPr>
    </w:p>
    <w:p w14:paraId="2C632B41" w14:textId="77777777" w:rsidR="005F5843" w:rsidRPr="001A2D15" w:rsidRDefault="005F5843" w:rsidP="005F5843">
      <w:pPr>
        <w:shd w:val="clear" w:color="auto" w:fill="FFFFFF"/>
        <w:spacing w:before="140" w:after="280" w:line="480" w:lineRule="auto"/>
        <w:ind w:firstLine="720"/>
        <w:jc w:val="center"/>
        <w:rPr>
          <w:rFonts w:ascii="Times New Roman" w:eastAsia="Times New Roman" w:hAnsi="Times New Roman" w:cs="Times New Roman"/>
          <w:sz w:val="24"/>
          <w:szCs w:val="24"/>
        </w:rPr>
      </w:pPr>
    </w:p>
    <w:p w14:paraId="16E09C9C" w14:textId="77777777" w:rsidR="005F5843" w:rsidRPr="001A2D15" w:rsidRDefault="005F5843" w:rsidP="005F5843">
      <w:pPr>
        <w:shd w:val="clear" w:color="auto" w:fill="FFFFFF"/>
        <w:spacing w:before="140" w:after="280" w:line="480" w:lineRule="auto"/>
        <w:ind w:firstLine="720"/>
        <w:jc w:val="center"/>
        <w:rPr>
          <w:rFonts w:ascii="Times New Roman" w:eastAsia="Times New Roman" w:hAnsi="Times New Roman" w:cs="Times New Roman"/>
          <w:sz w:val="24"/>
          <w:szCs w:val="24"/>
        </w:rPr>
      </w:pPr>
    </w:p>
    <w:p w14:paraId="7FB20337" w14:textId="77777777" w:rsidR="005F5843" w:rsidRPr="001A2D15" w:rsidRDefault="005F5843" w:rsidP="005F5843">
      <w:pPr>
        <w:shd w:val="clear" w:color="auto" w:fill="FFFFFF"/>
        <w:spacing w:before="140" w:after="280" w:line="480" w:lineRule="auto"/>
        <w:ind w:firstLine="720"/>
        <w:rPr>
          <w:rFonts w:ascii="Times New Roman" w:eastAsia="Times New Roman" w:hAnsi="Times New Roman" w:cs="Times New Roman"/>
          <w:sz w:val="24"/>
          <w:szCs w:val="24"/>
        </w:rPr>
      </w:pPr>
    </w:p>
    <w:p w14:paraId="7AC2E65B" w14:textId="410035AD" w:rsidR="005F5843" w:rsidRPr="001A2D15" w:rsidRDefault="00430EC2" w:rsidP="005F5843">
      <w:pPr>
        <w:shd w:val="clear" w:color="auto" w:fill="FFFFFF"/>
        <w:spacing w:before="140" w:after="280" w:line="480" w:lineRule="auto"/>
        <w:ind w:firstLine="720"/>
        <w:jc w:val="center"/>
        <w:rPr>
          <w:rFonts w:ascii="Times New Roman" w:eastAsia="Times New Roman" w:hAnsi="Times New Roman" w:cs="Times New Roman"/>
          <w:b/>
          <w:sz w:val="24"/>
          <w:szCs w:val="24"/>
        </w:rPr>
      </w:pPr>
      <w:r w:rsidRPr="001A2D15">
        <w:rPr>
          <w:rFonts w:ascii="Times New Roman" w:eastAsia="Times New Roman" w:hAnsi="Times New Roman" w:cs="Times New Roman"/>
          <w:b/>
          <w:sz w:val="24"/>
          <w:szCs w:val="24"/>
        </w:rPr>
        <w:t xml:space="preserve">Social Workers Discretion </w:t>
      </w:r>
    </w:p>
    <w:p w14:paraId="47FE9232" w14:textId="77777777" w:rsidR="005F5843" w:rsidRPr="001A2D15" w:rsidRDefault="005F5843" w:rsidP="005F5843">
      <w:pPr>
        <w:shd w:val="clear" w:color="auto" w:fill="FFFFFF"/>
        <w:spacing w:before="140" w:after="280" w:line="480" w:lineRule="auto"/>
        <w:ind w:firstLine="720"/>
        <w:jc w:val="center"/>
        <w:rPr>
          <w:rFonts w:ascii="Times New Roman" w:eastAsia="Times New Roman" w:hAnsi="Times New Roman" w:cs="Times New Roman"/>
          <w:sz w:val="24"/>
          <w:szCs w:val="24"/>
        </w:rPr>
      </w:pPr>
    </w:p>
    <w:p w14:paraId="00000001" w14:textId="220C2BF1" w:rsidR="009364E0" w:rsidRPr="001A2D15" w:rsidRDefault="00430EC2" w:rsidP="005F5843">
      <w:pPr>
        <w:shd w:val="clear" w:color="auto" w:fill="FFFFFF"/>
        <w:spacing w:before="140" w:after="280" w:line="480" w:lineRule="auto"/>
        <w:ind w:firstLine="720"/>
        <w:jc w:val="center"/>
        <w:rPr>
          <w:rFonts w:ascii="Times New Roman" w:eastAsia="Times New Roman" w:hAnsi="Times New Roman" w:cs="Times New Roman"/>
          <w:sz w:val="24"/>
          <w:szCs w:val="24"/>
        </w:rPr>
      </w:pPr>
      <w:r w:rsidRPr="001A2D15">
        <w:rPr>
          <w:rFonts w:ascii="Times New Roman" w:eastAsia="Times New Roman" w:hAnsi="Times New Roman" w:cs="Times New Roman"/>
          <w:sz w:val="24"/>
          <w:szCs w:val="24"/>
        </w:rPr>
        <w:t>Ashley Kenney</w:t>
      </w:r>
    </w:p>
    <w:p w14:paraId="00000002" w14:textId="0C3B533F" w:rsidR="009364E0" w:rsidRPr="001A2D15" w:rsidRDefault="00430EC2" w:rsidP="005F5843">
      <w:pPr>
        <w:shd w:val="clear" w:color="auto" w:fill="FFFFFF"/>
        <w:spacing w:before="140" w:after="280" w:line="480" w:lineRule="auto"/>
        <w:ind w:firstLine="720"/>
        <w:jc w:val="center"/>
        <w:rPr>
          <w:rFonts w:ascii="Times New Roman" w:eastAsia="Times New Roman" w:hAnsi="Times New Roman" w:cs="Times New Roman"/>
          <w:sz w:val="24"/>
          <w:szCs w:val="24"/>
        </w:rPr>
      </w:pPr>
      <w:r w:rsidRPr="001A2D15">
        <w:rPr>
          <w:rFonts w:ascii="Times New Roman" w:eastAsia="Times New Roman" w:hAnsi="Times New Roman" w:cs="Times New Roman"/>
          <w:sz w:val="24"/>
          <w:szCs w:val="24"/>
        </w:rPr>
        <w:t>PAD 7150</w:t>
      </w:r>
    </w:p>
    <w:p w14:paraId="00000003" w14:textId="77777777" w:rsidR="009364E0" w:rsidRPr="001A2D15" w:rsidRDefault="00430EC2" w:rsidP="005F5843">
      <w:pPr>
        <w:shd w:val="clear" w:color="auto" w:fill="FFFFFF"/>
        <w:spacing w:before="140" w:after="280" w:line="480" w:lineRule="auto"/>
        <w:ind w:firstLine="720"/>
        <w:jc w:val="center"/>
        <w:rPr>
          <w:rFonts w:ascii="Times New Roman" w:eastAsia="Times New Roman" w:hAnsi="Times New Roman" w:cs="Times New Roman"/>
          <w:sz w:val="24"/>
          <w:szCs w:val="24"/>
        </w:rPr>
      </w:pPr>
      <w:r w:rsidRPr="001A2D15">
        <w:rPr>
          <w:rFonts w:ascii="Times New Roman" w:eastAsia="Times New Roman" w:hAnsi="Times New Roman" w:cs="Times New Roman"/>
          <w:sz w:val="24"/>
          <w:szCs w:val="24"/>
        </w:rPr>
        <w:t>March 7, 2021</w:t>
      </w:r>
    </w:p>
    <w:p w14:paraId="00000005" w14:textId="5AF54B83" w:rsidR="009364E0" w:rsidRPr="001A2D15" w:rsidRDefault="009364E0" w:rsidP="005F5843">
      <w:pPr>
        <w:shd w:val="clear" w:color="auto" w:fill="FFFFFF"/>
        <w:spacing w:before="140" w:after="280" w:line="480" w:lineRule="auto"/>
        <w:ind w:firstLine="720"/>
        <w:jc w:val="center"/>
        <w:rPr>
          <w:rFonts w:ascii="Times New Roman" w:eastAsia="Times New Roman" w:hAnsi="Times New Roman" w:cs="Times New Roman"/>
          <w:sz w:val="24"/>
          <w:szCs w:val="24"/>
        </w:rPr>
      </w:pPr>
    </w:p>
    <w:p w14:paraId="00000006" w14:textId="77777777" w:rsidR="009364E0" w:rsidRPr="001A2D15" w:rsidRDefault="009364E0">
      <w:pPr>
        <w:shd w:val="clear" w:color="auto" w:fill="FFFFFF"/>
        <w:spacing w:before="140" w:after="280" w:line="480" w:lineRule="auto"/>
        <w:ind w:firstLine="720"/>
        <w:jc w:val="center"/>
        <w:rPr>
          <w:rFonts w:ascii="Times New Roman" w:eastAsia="Times New Roman" w:hAnsi="Times New Roman" w:cs="Times New Roman"/>
          <w:sz w:val="24"/>
          <w:szCs w:val="24"/>
        </w:rPr>
      </w:pPr>
    </w:p>
    <w:p w14:paraId="1CCD8BEB" w14:textId="77777777" w:rsidR="005F5843" w:rsidRPr="001A2D15" w:rsidRDefault="005F5843">
      <w:pPr>
        <w:shd w:val="clear" w:color="auto" w:fill="FFFFFF"/>
        <w:spacing w:before="140" w:after="280" w:line="480" w:lineRule="auto"/>
        <w:ind w:firstLine="720"/>
        <w:jc w:val="center"/>
        <w:rPr>
          <w:rFonts w:ascii="Times New Roman" w:eastAsia="Times New Roman" w:hAnsi="Times New Roman" w:cs="Times New Roman"/>
          <w:sz w:val="24"/>
          <w:szCs w:val="24"/>
        </w:rPr>
      </w:pPr>
    </w:p>
    <w:p w14:paraId="147D74A4" w14:textId="77777777" w:rsidR="005F5843" w:rsidRPr="001A2D15" w:rsidRDefault="005F5843">
      <w:pPr>
        <w:shd w:val="clear" w:color="auto" w:fill="FFFFFF"/>
        <w:spacing w:before="140" w:after="280" w:line="480" w:lineRule="auto"/>
        <w:ind w:firstLine="720"/>
        <w:jc w:val="center"/>
        <w:rPr>
          <w:rFonts w:ascii="Times New Roman" w:eastAsia="Times New Roman" w:hAnsi="Times New Roman" w:cs="Times New Roman"/>
          <w:sz w:val="24"/>
          <w:szCs w:val="24"/>
        </w:rPr>
      </w:pPr>
    </w:p>
    <w:p w14:paraId="2BF068E2" w14:textId="77777777" w:rsidR="005F5843" w:rsidRDefault="005F5843">
      <w:pPr>
        <w:shd w:val="clear" w:color="auto" w:fill="FFFFFF"/>
        <w:spacing w:before="140" w:after="280" w:line="480" w:lineRule="auto"/>
        <w:ind w:firstLine="720"/>
        <w:jc w:val="center"/>
        <w:rPr>
          <w:rFonts w:ascii="Times New Roman" w:eastAsia="Times New Roman" w:hAnsi="Times New Roman" w:cs="Times New Roman"/>
          <w:sz w:val="24"/>
          <w:szCs w:val="24"/>
        </w:rPr>
      </w:pPr>
    </w:p>
    <w:p w14:paraId="7F1493BB" w14:textId="77777777" w:rsidR="001A2D15" w:rsidRPr="001A2D15" w:rsidRDefault="001A2D15">
      <w:pPr>
        <w:shd w:val="clear" w:color="auto" w:fill="FFFFFF"/>
        <w:spacing w:before="140" w:after="280" w:line="480" w:lineRule="auto"/>
        <w:ind w:firstLine="720"/>
        <w:jc w:val="center"/>
        <w:rPr>
          <w:rFonts w:ascii="Times New Roman" w:eastAsia="Times New Roman" w:hAnsi="Times New Roman" w:cs="Times New Roman"/>
          <w:sz w:val="24"/>
          <w:szCs w:val="24"/>
        </w:rPr>
      </w:pPr>
    </w:p>
    <w:p w14:paraId="40F46D82" w14:textId="77777777" w:rsidR="005F5843" w:rsidRPr="001A2D15" w:rsidRDefault="005F5843">
      <w:pPr>
        <w:shd w:val="clear" w:color="auto" w:fill="FFFFFF"/>
        <w:spacing w:before="140" w:after="280" w:line="480" w:lineRule="auto"/>
        <w:ind w:firstLine="720"/>
        <w:jc w:val="center"/>
        <w:rPr>
          <w:rFonts w:ascii="Times New Roman" w:eastAsia="Times New Roman" w:hAnsi="Times New Roman" w:cs="Times New Roman"/>
          <w:sz w:val="24"/>
          <w:szCs w:val="24"/>
        </w:rPr>
      </w:pPr>
    </w:p>
    <w:p w14:paraId="3335F181" w14:textId="77777777" w:rsidR="005F5843" w:rsidRPr="001A2D15" w:rsidRDefault="00430EC2" w:rsidP="005F5843">
      <w:pPr>
        <w:shd w:val="clear" w:color="auto" w:fill="FFFFFF"/>
        <w:spacing w:before="140" w:after="280" w:line="480" w:lineRule="auto"/>
        <w:ind w:firstLine="720"/>
        <w:contextualSpacing/>
        <w:jc w:val="center"/>
        <w:rPr>
          <w:rFonts w:ascii="Times New Roman" w:eastAsia="Times New Roman" w:hAnsi="Times New Roman" w:cs="Times New Roman"/>
          <w:b/>
          <w:sz w:val="24"/>
          <w:szCs w:val="24"/>
        </w:rPr>
      </w:pPr>
      <w:r w:rsidRPr="001A2D15">
        <w:rPr>
          <w:rFonts w:ascii="Times New Roman" w:eastAsia="Times New Roman" w:hAnsi="Times New Roman" w:cs="Times New Roman"/>
          <w:b/>
          <w:sz w:val="24"/>
          <w:szCs w:val="24"/>
        </w:rPr>
        <w:t xml:space="preserve">Social Workers Discretion </w:t>
      </w:r>
    </w:p>
    <w:p w14:paraId="00000007" w14:textId="2D3B0BB5" w:rsidR="009364E0" w:rsidRPr="001A2D15" w:rsidRDefault="00430EC2">
      <w:pPr>
        <w:shd w:val="clear" w:color="auto" w:fill="FFFFFF"/>
        <w:spacing w:before="140" w:after="280" w:line="480" w:lineRule="auto"/>
        <w:ind w:firstLine="720"/>
        <w:contextualSpacing/>
        <w:rPr>
          <w:rFonts w:ascii="Times New Roman" w:eastAsia="Times New Roman" w:hAnsi="Times New Roman" w:cs="Times New Roman"/>
          <w:sz w:val="24"/>
          <w:szCs w:val="24"/>
        </w:rPr>
      </w:pPr>
      <w:r w:rsidRPr="001A2D15">
        <w:rPr>
          <w:rFonts w:ascii="Times New Roman" w:eastAsia="Times New Roman" w:hAnsi="Times New Roman" w:cs="Times New Roman"/>
          <w:sz w:val="24"/>
          <w:szCs w:val="24"/>
        </w:rPr>
        <w:t>Street-level bu</w:t>
      </w:r>
      <w:r w:rsidR="00270D5D">
        <w:rPr>
          <w:rFonts w:ascii="Times New Roman" w:eastAsia="Times New Roman" w:hAnsi="Times New Roman" w:cs="Times New Roman"/>
          <w:sz w:val="24"/>
          <w:szCs w:val="24"/>
        </w:rPr>
        <w:t>reaucrats have, on several occasions, made</w:t>
      </w:r>
      <w:r w:rsidRPr="001A2D15">
        <w:rPr>
          <w:rFonts w:ascii="Times New Roman" w:eastAsia="Times New Roman" w:hAnsi="Times New Roman" w:cs="Times New Roman"/>
          <w:sz w:val="24"/>
          <w:szCs w:val="24"/>
        </w:rPr>
        <w:t xml:space="preserve"> biased decisions based on stereotypes or the clients' social construction.  Particularly in law enforcement roles, stereotypes are a known factor when it comes to decision-making. Police officers over the years have stereotyped African Americans, which leads to deadly results. For example, judges sentencing African Americans and Latinos with higher sentences. I agree with the assertion that there is evidence that some street-level bureaucrats have been known to stereotype citizens, but in other occupations, it's the opposite. According to Lipsky, street-level bureaucrats are taught to observe their environments.  Their clients' conceptions tend to be consistent with perspectives that exonerate them from responsibility for clients’ fate (</w:t>
      </w:r>
      <w:r w:rsidR="001A2D15" w:rsidRPr="001A2D15">
        <w:rPr>
          <w:rFonts w:ascii="Times New Roman" w:hAnsi="Times New Roman" w:cs="Times New Roman"/>
          <w:color w:val="333333"/>
          <w:sz w:val="24"/>
          <w:szCs w:val="24"/>
          <w:shd w:val="clear" w:color="auto" w:fill="FFFFFF"/>
        </w:rPr>
        <w:t>(Lipsky, 2010, p.</w:t>
      </w:r>
      <w:r w:rsidR="00B327D9">
        <w:rPr>
          <w:rFonts w:ascii="Times New Roman" w:eastAsia="Times New Roman" w:hAnsi="Times New Roman" w:cs="Times New Roman"/>
          <w:sz w:val="24"/>
          <w:szCs w:val="24"/>
        </w:rPr>
        <w:t>115). T</w:t>
      </w:r>
      <w:r w:rsidR="00270D5D">
        <w:rPr>
          <w:rFonts w:ascii="Times New Roman" w:eastAsia="Times New Roman" w:hAnsi="Times New Roman" w:cs="Times New Roman"/>
          <w:sz w:val="24"/>
          <w:szCs w:val="24"/>
        </w:rPr>
        <w:t>his paper</w:t>
      </w:r>
      <w:r w:rsidR="00B327D9">
        <w:rPr>
          <w:rFonts w:ascii="Times New Roman" w:eastAsia="Times New Roman" w:hAnsi="Times New Roman" w:cs="Times New Roman"/>
          <w:sz w:val="24"/>
          <w:szCs w:val="24"/>
        </w:rPr>
        <w:t xml:space="preserve"> </w:t>
      </w:r>
      <w:r w:rsidRPr="001A2D15">
        <w:rPr>
          <w:rFonts w:ascii="Times New Roman" w:eastAsia="Times New Roman" w:hAnsi="Times New Roman" w:cs="Times New Roman"/>
          <w:sz w:val="24"/>
          <w:szCs w:val="24"/>
        </w:rPr>
        <w:t>assess</w:t>
      </w:r>
      <w:r w:rsidR="00270D5D">
        <w:rPr>
          <w:rFonts w:ascii="Times New Roman" w:eastAsia="Times New Roman" w:hAnsi="Times New Roman" w:cs="Times New Roman"/>
          <w:sz w:val="24"/>
          <w:szCs w:val="24"/>
        </w:rPr>
        <w:t>es</w:t>
      </w:r>
      <w:r w:rsidRPr="001A2D15">
        <w:rPr>
          <w:rFonts w:ascii="Times New Roman" w:eastAsia="Times New Roman" w:hAnsi="Times New Roman" w:cs="Times New Roman"/>
          <w:sz w:val="24"/>
          <w:szCs w:val="24"/>
        </w:rPr>
        <w:t xml:space="preserve"> whether street-level bureaucrats based their decisions on stereotypes or their clients' social construction.  </w:t>
      </w:r>
    </w:p>
    <w:p w14:paraId="00000008" w14:textId="3C05EACA" w:rsidR="009364E0" w:rsidRPr="001A2D15" w:rsidRDefault="00430EC2">
      <w:pPr>
        <w:shd w:val="clear" w:color="auto" w:fill="FFFFFF"/>
        <w:spacing w:before="140" w:after="280" w:line="480" w:lineRule="auto"/>
        <w:ind w:firstLine="720"/>
        <w:contextualSpacing/>
        <w:rPr>
          <w:rFonts w:ascii="Times New Roman" w:eastAsia="Times New Roman" w:hAnsi="Times New Roman" w:cs="Times New Roman"/>
          <w:sz w:val="24"/>
          <w:szCs w:val="24"/>
        </w:rPr>
      </w:pPr>
      <w:r w:rsidRPr="001A2D15">
        <w:rPr>
          <w:rFonts w:ascii="Times New Roman" w:eastAsia="Times New Roman" w:hAnsi="Times New Roman" w:cs="Times New Roman"/>
          <w:sz w:val="24"/>
          <w:szCs w:val="24"/>
        </w:rPr>
        <w:t>Some street-level bureaucrats have been known to have a bias against the clients they serve. They are particularly inclined to believe that experience provides the basis for assessin</w:t>
      </w:r>
      <w:r w:rsidR="001A2D15">
        <w:rPr>
          <w:rFonts w:ascii="Times New Roman" w:eastAsia="Times New Roman" w:hAnsi="Times New Roman" w:cs="Times New Roman"/>
          <w:sz w:val="24"/>
          <w:szCs w:val="24"/>
        </w:rPr>
        <w:t>g the client's world.</w:t>
      </w:r>
      <w:r w:rsidRPr="001A2D15">
        <w:rPr>
          <w:rFonts w:ascii="Times New Roman" w:eastAsia="Times New Roman" w:hAnsi="Times New Roman" w:cs="Times New Roman"/>
          <w:sz w:val="24"/>
          <w:szCs w:val="24"/>
        </w:rPr>
        <w:t xml:space="preserve"> Bias has tended to be race-related, social-economic stat</w:t>
      </w:r>
      <w:r w:rsidR="00B327D9">
        <w:rPr>
          <w:rFonts w:ascii="Times New Roman" w:eastAsia="Times New Roman" w:hAnsi="Times New Roman" w:cs="Times New Roman"/>
          <w:sz w:val="24"/>
          <w:szCs w:val="24"/>
        </w:rPr>
        <w:t>us, or gender. The list continues on matters regarding</w:t>
      </w:r>
      <w:r w:rsidRPr="001A2D15">
        <w:rPr>
          <w:rFonts w:ascii="Times New Roman" w:eastAsia="Times New Roman" w:hAnsi="Times New Roman" w:cs="Times New Roman"/>
          <w:sz w:val="24"/>
          <w:szCs w:val="24"/>
        </w:rPr>
        <w:t xml:space="preserve"> being stereotyped as a citizen. Social workers are street-level bureaucrats whose occupation requires them to work with their clients on face to face basis allowing more room for stereotypes to be analyzed. Bias in The Social Work Dictionary is defined as “an attitude that can influence feelings, usually resulting in an individual having positive or negative predispositions about a particular group, individua</w:t>
      </w:r>
      <w:r w:rsidR="001A2D15">
        <w:rPr>
          <w:rFonts w:ascii="Times New Roman" w:eastAsia="Times New Roman" w:hAnsi="Times New Roman" w:cs="Times New Roman"/>
          <w:sz w:val="24"/>
          <w:szCs w:val="24"/>
        </w:rPr>
        <w:t xml:space="preserve">l, or object” </w:t>
      </w:r>
      <w:r w:rsidR="001A2D15" w:rsidRPr="001A2D15">
        <w:rPr>
          <w:rFonts w:ascii="Times New Roman" w:hAnsi="Times New Roman" w:cs="Times New Roman"/>
          <w:sz w:val="24"/>
          <w:szCs w:val="24"/>
          <w:shd w:val="clear" w:color="auto" w:fill="FFFFFF"/>
        </w:rPr>
        <w:t>(Howard, 2018)</w:t>
      </w:r>
      <w:r w:rsidRPr="001A2D15">
        <w:rPr>
          <w:rFonts w:ascii="Times New Roman" w:eastAsia="Times New Roman" w:hAnsi="Times New Roman" w:cs="Times New Roman"/>
          <w:sz w:val="24"/>
          <w:szCs w:val="24"/>
        </w:rPr>
        <w:t xml:space="preserve">. </w:t>
      </w:r>
    </w:p>
    <w:p w14:paraId="00000009" w14:textId="6FB7F8B9" w:rsidR="009364E0" w:rsidRPr="001A2D15" w:rsidRDefault="00430EC2">
      <w:pPr>
        <w:shd w:val="clear" w:color="auto" w:fill="FFFFFF"/>
        <w:spacing w:before="140" w:after="280" w:line="480" w:lineRule="auto"/>
        <w:ind w:firstLine="720"/>
        <w:contextualSpacing/>
        <w:rPr>
          <w:rFonts w:ascii="Times New Roman" w:eastAsia="Times New Roman" w:hAnsi="Times New Roman" w:cs="Times New Roman"/>
          <w:sz w:val="24"/>
          <w:szCs w:val="24"/>
          <w:highlight w:val="white"/>
        </w:rPr>
      </w:pPr>
      <w:r w:rsidRPr="001A2D15">
        <w:rPr>
          <w:rFonts w:ascii="Times New Roman" w:eastAsia="Times New Roman" w:hAnsi="Times New Roman" w:cs="Times New Roman"/>
          <w:sz w:val="24"/>
          <w:szCs w:val="24"/>
        </w:rPr>
        <w:t xml:space="preserve">Social workers are documented to have </w:t>
      </w:r>
      <w:r w:rsidR="00D11F61" w:rsidRPr="001A2D15">
        <w:rPr>
          <w:rFonts w:ascii="Times New Roman" w:eastAsia="Times New Roman" w:hAnsi="Times New Roman" w:cs="Times New Roman"/>
          <w:sz w:val="24"/>
          <w:szCs w:val="24"/>
        </w:rPr>
        <w:t>a history</w:t>
      </w:r>
      <w:r w:rsidRPr="001A2D15">
        <w:rPr>
          <w:rFonts w:ascii="Times New Roman" w:eastAsia="Times New Roman" w:hAnsi="Times New Roman" w:cs="Times New Roman"/>
          <w:sz w:val="24"/>
          <w:szCs w:val="24"/>
        </w:rPr>
        <w:t xml:space="preserve"> of social justice </w:t>
      </w:r>
      <w:r w:rsidR="00B50EB6" w:rsidRPr="001A2D15">
        <w:rPr>
          <w:rFonts w:ascii="Times New Roman" w:eastAsia="Times New Roman" w:hAnsi="Times New Roman" w:cs="Times New Roman"/>
          <w:sz w:val="24"/>
          <w:szCs w:val="24"/>
        </w:rPr>
        <w:t>support</w:t>
      </w:r>
      <w:r w:rsidR="00B50EB6">
        <w:rPr>
          <w:rFonts w:ascii="Times New Roman" w:eastAsia="Times New Roman" w:hAnsi="Times New Roman" w:cs="Times New Roman"/>
          <w:sz w:val="24"/>
          <w:szCs w:val="24"/>
        </w:rPr>
        <w:t xml:space="preserve"> in socially, polit</w:t>
      </w:r>
      <w:r w:rsidR="00602C26">
        <w:rPr>
          <w:rFonts w:ascii="Times New Roman" w:eastAsia="Times New Roman" w:hAnsi="Times New Roman" w:cs="Times New Roman"/>
          <w:sz w:val="24"/>
          <w:szCs w:val="24"/>
        </w:rPr>
        <w:t>ically, and economi</w:t>
      </w:r>
      <w:r w:rsidRPr="001A2D15">
        <w:rPr>
          <w:rFonts w:ascii="Times New Roman" w:eastAsia="Times New Roman" w:hAnsi="Times New Roman" w:cs="Times New Roman"/>
          <w:sz w:val="24"/>
          <w:szCs w:val="24"/>
        </w:rPr>
        <w:t xml:space="preserve">cally </w:t>
      </w:r>
      <w:r w:rsidR="00602C26" w:rsidRPr="001A2D15">
        <w:rPr>
          <w:rFonts w:ascii="Times New Roman" w:eastAsia="Times New Roman" w:hAnsi="Times New Roman" w:cs="Times New Roman"/>
          <w:sz w:val="24"/>
          <w:szCs w:val="24"/>
        </w:rPr>
        <w:t>underprivileged</w:t>
      </w:r>
      <w:r w:rsidRPr="001A2D15">
        <w:rPr>
          <w:rFonts w:ascii="Times New Roman" w:eastAsia="Times New Roman" w:hAnsi="Times New Roman" w:cs="Times New Roman"/>
          <w:sz w:val="24"/>
          <w:szCs w:val="24"/>
        </w:rPr>
        <w:t xml:space="preserve"> </w:t>
      </w:r>
      <w:r w:rsidR="001A2D15" w:rsidRPr="00D11F61">
        <w:rPr>
          <w:rFonts w:ascii="Times New Roman" w:eastAsia="Times New Roman" w:hAnsi="Times New Roman" w:cs="Times New Roman"/>
          <w:sz w:val="24"/>
          <w:szCs w:val="24"/>
        </w:rPr>
        <w:t xml:space="preserve">communities </w:t>
      </w:r>
      <w:r w:rsidR="001A2D15" w:rsidRPr="00D11F61">
        <w:rPr>
          <w:rFonts w:ascii="Times New Roman" w:hAnsi="Times New Roman" w:cs="Times New Roman"/>
          <w:sz w:val="24"/>
          <w:szCs w:val="24"/>
          <w:shd w:val="clear" w:color="auto" w:fill="FFFFFF"/>
        </w:rPr>
        <w:t>(Swenson, 1998)</w:t>
      </w:r>
      <w:r w:rsidR="00D11F61">
        <w:rPr>
          <w:rFonts w:ascii="Times New Roman" w:eastAsia="Times New Roman" w:hAnsi="Times New Roman" w:cs="Times New Roman"/>
          <w:sz w:val="24"/>
          <w:szCs w:val="24"/>
        </w:rPr>
        <w:t xml:space="preserve">. </w:t>
      </w:r>
      <w:r w:rsidRPr="00D11F61">
        <w:rPr>
          <w:rFonts w:ascii="Times New Roman" w:eastAsia="Times New Roman" w:hAnsi="Times New Roman" w:cs="Times New Roman"/>
          <w:sz w:val="24"/>
          <w:szCs w:val="24"/>
        </w:rPr>
        <w:t xml:space="preserve">Social </w:t>
      </w:r>
      <w:r w:rsidRPr="001A2D15">
        <w:rPr>
          <w:rFonts w:ascii="Times New Roman" w:eastAsia="Times New Roman" w:hAnsi="Times New Roman" w:cs="Times New Roman"/>
          <w:sz w:val="24"/>
          <w:szCs w:val="24"/>
        </w:rPr>
        <w:t xml:space="preserve">workers implement policies to promote change in their client’s lives. Social workers </w:t>
      </w:r>
      <w:r w:rsidRPr="001A2D15">
        <w:rPr>
          <w:rFonts w:ascii="Times New Roman" w:eastAsia="Times New Roman" w:hAnsi="Times New Roman" w:cs="Times New Roman"/>
          <w:sz w:val="24"/>
          <w:szCs w:val="24"/>
          <w:highlight w:val="white"/>
        </w:rPr>
        <w:t xml:space="preserve">promote their client’s interests, health, and their legal interest. SLBs </w:t>
      </w:r>
      <w:r w:rsidR="00602C26">
        <w:rPr>
          <w:rFonts w:ascii="Times New Roman" w:eastAsia="Times New Roman" w:hAnsi="Times New Roman" w:cs="Times New Roman"/>
          <w:sz w:val="24"/>
          <w:szCs w:val="24"/>
          <w:highlight w:val="white"/>
        </w:rPr>
        <w:t xml:space="preserve">also often side with personal </w:t>
      </w:r>
      <w:r w:rsidRPr="001A2D15">
        <w:rPr>
          <w:rFonts w:ascii="Times New Roman" w:eastAsia="Times New Roman" w:hAnsi="Times New Roman" w:cs="Times New Roman"/>
          <w:sz w:val="24"/>
          <w:szCs w:val="24"/>
          <w:highlight w:val="white"/>
        </w:rPr>
        <w:t xml:space="preserve">clients but in a more hidden, less </w:t>
      </w:r>
      <w:r w:rsidR="00602C26" w:rsidRPr="001A2D15">
        <w:rPr>
          <w:rFonts w:ascii="Times New Roman" w:eastAsia="Times New Roman" w:hAnsi="Times New Roman" w:cs="Times New Roman"/>
          <w:sz w:val="24"/>
          <w:szCs w:val="24"/>
          <w:highlight w:val="white"/>
        </w:rPr>
        <w:t>ethical</w:t>
      </w:r>
      <w:r w:rsidRPr="001A2D15">
        <w:rPr>
          <w:rFonts w:ascii="Times New Roman" w:eastAsia="Times New Roman" w:hAnsi="Times New Roman" w:cs="Times New Roman"/>
          <w:sz w:val="24"/>
          <w:szCs w:val="24"/>
          <w:highlight w:val="white"/>
        </w:rPr>
        <w:t xml:space="preserve">, and </w:t>
      </w:r>
      <w:r w:rsidR="00602C26" w:rsidRPr="001A2D15">
        <w:rPr>
          <w:rFonts w:ascii="Times New Roman" w:eastAsia="Times New Roman" w:hAnsi="Times New Roman" w:cs="Times New Roman"/>
          <w:sz w:val="24"/>
          <w:szCs w:val="24"/>
          <w:highlight w:val="white"/>
        </w:rPr>
        <w:t>probably</w:t>
      </w:r>
      <w:r w:rsidRPr="001A2D15">
        <w:rPr>
          <w:rFonts w:ascii="Times New Roman" w:eastAsia="Times New Roman" w:hAnsi="Times New Roman" w:cs="Times New Roman"/>
          <w:sz w:val="24"/>
          <w:szCs w:val="24"/>
          <w:highlight w:val="white"/>
        </w:rPr>
        <w:t xml:space="preserve"> more </w:t>
      </w:r>
      <w:r w:rsidR="00602C26" w:rsidRPr="001A2D15">
        <w:rPr>
          <w:rFonts w:ascii="Times New Roman" w:eastAsia="Times New Roman" w:hAnsi="Times New Roman" w:cs="Times New Roman"/>
          <w:sz w:val="24"/>
          <w:szCs w:val="24"/>
          <w:highlight w:val="white"/>
        </w:rPr>
        <w:t>random</w:t>
      </w:r>
      <w:r w:rsidRPr="001A2D15">
        <w:rPr>
          <w:rFonts w:ascii="Times New Roman" w:eastAsia="Times New Roman" w:hAnsi="Times New Roman" w:cs="Times New Roman"/>
          <w:sz w:val="24"/>
          <w:szCs w:val="24"/>
          <w:highlight w:val="white"/>
        </w:rPr>
        <w:t xml:space="preserve"> way (</w:t>
      </w:r>
      <w:r w:rsidRPr="001A2D15">
        <w:rPr>
          <w:rFonts w:ascii="Times New Roman" w:eastAsia="Times New Roman" w:hAnsi="Times New Roman" w:cs="Times New Roman"/>
          <w:sz w:val="24"/>
          <w:szCs w:val="24"/>
        </w:rPr>
        <w:t>Trappenburg,</w:t>
      </w:r>
      <w:r w:rsidR="00D11F61">
        <w:rPr>
          <w:rFonts w:ascii="Times New Roman" w:eastAsia="Times New Roman" w:hAnsi="Times New Roman" w:cs="Times New Roman"/>
          <w:sz w:val="24"/>
          <w:szCs w:val="24"/>
          <w:highlight w:val="white"/>
        </w:rPr>
        <w:t xml:space="preserve"> 2020, P.</w:t>
      </w:r>
      <w:r w:rsidRPr="001A2D15">
        <w:rPr>
          <w:rFonts w:ascii="Times New Roman" w:eastAsia="Times New Roman" w:hAnsi="Times New Roman" w:cs="Times New Roman"/>
          <w:sz w:val="24"/>
          <w:szCs w:val="24"/>
          <w:highlight w:val="white"/>
        </w:rPr>
        <w:t xml:space="preserve">1669–168).  Most Social workers serve clients that are non-voluntary and need governmental assistance. A social worker helps people cope with challenges in their lives. From individuals needing help with a wide range of life-altering situations. For example, child and family social workers. </w:t>
      </w:r>
      <w:r w:rsidR="00D11F61" w:rsidRPr="001A2D15">
        <w:rPr>
          <w:rFonts w:ascii="Times New Roman" w:eastAsia="Times New Roman" w:hAnsi="Times New Roman" w:cs="Times New Roman"/>
          <w:sz w:val="24"/>
          <w:szCs w:val="24"/>
          <w:highlight w:val="white"/>
        </w:rPr>
        <w:t>More</w:t>
      </w:r>
      <w:r w:rsidRPr="001A2D15">
        <w:rPr>
          <w:rFonts w:ascii="Times New Roman" w:eastAsia="Times New Roman" w:hAnsi="Times New Roman" w:cs="Times New Roman"/>
          <w:sz w:val="24"/>
          <w:szCs w:val="24"/>
          <w:highlight w:val="white"/>
        </w:rPr>
        <w:t xml:space="preserve"> affected</w:t>
      </w:r>
      <w:r w:rsidR="00D11F61">
        <w:rPr>
          <w:rFonts w:ascii="Times New Roman" w:eastAsia="Times New Roman" w:hAnsi="Times New Roman" w:cs="Times New Roman"/>
          <w:sz w:val="24"/>
          <w:szCs w:val="24"/>
          <w:highlight w:val="white"/>
        </w:rPr>
        <w:t xml:space="preserve"> persons</w:t>
      </w:r>
      <w:r w:rsidRPr="001A2D15">
        <w:rPr>
          <w:rFonts w:ascii="Times New Roman" w:eastAsia="Times New Roman" w:hAnsi="Times New Roman" w:cs="Times New Roman"/>
          <w:sz w:val="24"/>
          <w:szCs w:val="24"/>
          <w:highlight w:val="white"/>
        </w:rPr>
        <w:t xml:space="preserve"> or individuals who are classified as low-income citizens. The public agencies in their communities provide resources for the poor to receive treatment from the state. SLB's like social workers, provide poor clients different treatment compared to those serving more affluent people entirely because poor people are much more dependent</w:t>
      </w:r>
      <w:r w:rsidR="00D11F61">
        <w:rPr>
          <w:rFonts w:ascii="Times New Roman" w:eastAsia="Times New Roman" w:hAnsi="Times New Roman" w:cs="Times New Roman"/>
          <w:sz w:val="24"/>
          <w:szCs w:val="24"/>
          <w:highlight w:val="white"/>
        </w:rPr>
        <w:t xml:space="preserve"> on these </w:t>
      </w:r>
      <w:r w:rsidR="00B50EB6">
        <w:rPr>
          <w:rFonts w:ascii="Times New Roman" w:eastAsia="Times New Roman" w:hAnsi="Times New Roman" w:cs="Times New Roman"/>
          <w:sz w:val="24"/>
          <w:szCs w:val="24"/>
          <w:highlight w:val="white"/>
        </w:rPr>
        <w:t xml:space="preserve">agencies. </w:t>
      </w:r>
    </w:p>
    <w:p w14:paraId="0000000A" w14:textId="27CE78C0" w:rsidR="009364E0" w:rsidRPr="001A2D15" w:rsidRDefault="00430EC2">
      <w:pPr>
        <w:shd w:val="clear" w:color="auto" w:fill="FFFFFF"/>
        <w:spacing w:before="140" w:after="280" w:line="480" w:lineRule="auto"/>
        <w:ind w:firstLine="720"/>
        <w:contextualSpacing/>
        <w:rPr>
          <w:rFonts w:ascii="Times New Roman" w:eastAsia="Times New Roman" w:hAnsi="Times New Roman" w:cs="Times New Roman"/>
          <w:sz w:val="24"/>
          <w:szCs w:val="24"/>
        </w:rPr>
      </w:pPr>
      <w:r w:rsidRPr="001A2D15">
        <w:rPr>
          <w:rFonts w:ascii="Times New Roman" w:eastAsia="Times New Roman" w:hAnsi="Times New Roman" w:cs="Times New Roman"/>
          <w:sz w:val="24"/>
          <w:szCs w:val="24"/>
          <w:highlight w:val="white"/>
        </w:rPr>
        <w:t xml:space="preserve">Social workers who focus on child and family social services have to interact with families who may live in unsafe environments. Their role requires them to go into their clients' homes to assess the danger a child may be placed in. Social workers </w:t>
      </w:r>
      <w:r w:rsidR="00602C26" w:rsidRPr="001A2D15">
        <w:rPr>
          <w:rFonts w:ascii="Times New Roman" w:eastAsia="Times New Roman" w:hAnsi="Times New Roman" w:cs="Times New Roman"/>
          <w:sz w:val="24"/>
          <w:szCs w:val="24"/>
          <w:highlight w:val="white"/>
        </w:rPr>
        <w:t>frequently</w:t>
      </w:r>
      <w:r w:rsidR="00602C26">
        <w:rPr>
          <w:rFonts w:ascii="Times New Roman" w:eastAsia="Times New Roman" w:hAnsi="Times New Roman" w:cs="Times New Roman"/>
          <w:sz w:val="24"/>
          <w:szCs w:val="24"/>
          <w:highlight w:val="white"/>
        </w:rPr>
        <w:t xml:space="preserve"> make risky decisions in determining minors that have been abused </w:t>
      </w:r>
      <w:r w:rsidRPr="001A2D15">
        <w:rPr>
          <w:rFonts w:ascii="Times New Roman" w:eastAsia="Times New Roman" w:hAnsi="Times New Roman" w:cs="Times New Roman"/>
          <w:sz w:val="24"/>
          <w:szCs w:val="24"/>
          <w:highlight w:val="white"/>
        </w:rPr>
        <w:t xml:space="preserve"> (</w:t>
      </w:r>
      <w:r w:rsidRPr="001A2D15">
        <w:rPr>
          <w:rFonts w:ascii="Times New Roman" w:eastAsia="Times New Roman" w:hAnsi="Times New Roman" w:cs="Times New Roman"/>
          <w:sz w:val="24"/>
          <w:szCs w:val="24"/>
        </w:rPr>
        <w:t>Cheryl Regehr</w:t>
      </w:r>
      <w:r w:rsidR="00B50EB6" w:rsidRPr="001A2D15">
        <w:rPr>
          <w:rFonts w:ascii="Times New Roman" w:eastAsia="Times New Roman" w:hAnsi="Times New Roman" w:cs="Times New Roman"/>
          <w:sz w:val="24"/>
          <w:szCs w:val="24"/>
        </w:rPr>
        <w:t>, 2018</w:t>
      </w:r>
      <w:r w:rsidRPr="001A2D15">
        <w:rPr>
          <w:rFonts w:ascii="Times New Roman" w:eastAsia="Times New Roman" w:hAnsi="Times New Roman" w:cs="Times New Roman"/>
          <w:sz w:val="24"/>
          <w:szCs w:val="24"/>
        </w:rPr>
        <w:t xml:space="preserve">). </w:t>
      </w:r>
      <w:r w:rsidRPr="001A2D15">
        <w:rPr>
          <w:rFonts w:ascii="Times New Roman" w:eastAsia="Times New Roman" w:hAnsi="Times New Roman" w:cs="Times New Roman"/>
          <w:sz w:val="24"/>
          <w:szCs w:val="24"/>
          <w:highlight w:val="white"/>
        </w:rPr>
        <w:t>The individuals have to go into neighborhoods that are not the safest and use their discretion on removing children from unstable homes. Using discretion should not be hindered by the social worker’s personal bias but based on the training they received to a</w:t>
      </w:r>
      <w:r w:rsidR="00AC0839">
        <w:rPr>
          <w:rFonts w:ascii="Times New Roman" w:eastAsia="Times New Roman" w:hAnsi="Times New Roman" w:cs="Times New Roman"/>
          <w:sz w:val="24"/>
          <w:szCs w:val="24"/>
          <w:highlight w:val="white"/>
        </w:rPr>
        <w:t xml:space="preserve">ssess risk. Proper </w:t>
      </w:r>
      <w:r w:rsidRPr="001A2D15">
        <w:rPr>
          <w:rFonts w:ascii="Times New Roman" w:eastAsia="Times New Roman" w:hAnsi="Times New Roman" w:cs="Times New Roman"/>
          <w:sz w:val="24"/>
          <w:szCs w:val="24"/>
          <w:highlight w:val="white"/>
        </w:rPr>
        <w:t xml:space="preserve">supervision </w:t>
      </w:r>
      <w:r w:rsidR="00AC0839">
        <w:rPr>
          <w:rFonts w:ascii="Times New Roman" w:eastAsia="Times New Roman" w:hAnsi="Times New Roman" w:cs="Times New Roman"/>
          <w:sz w:val="24"/>
          <w:szCs w:val="24"/>
          <w:highlight w:val="white"/>
        </w:rPr>
        <w:t xml:space="preserve">and training </w:t>
      </w:r>
      <w:r w:rsidR="00AC0839" w:rsidRPr="001A2D15">
        <w:rPr>
          <w:rFonts w:ascii="Times New Roman" w:eastAsia="Times New Roman" w:hAnsi="Times New Roman" w:cs="Times New Roman"/>
          <w:sz w:val="24"/>
          <w:szCs w:val="24"/>
          <w:highlight w:val="white"/>
        </w:rPr>
        <w:t>sustenance</w:t>
      </w:r>
      <w:r w:rsidRPr="001A2D15">
        <w:rPr>
          <w:rFonts w:ascii="Times New Roman" w:eastAsia="Times New Roman" w:hAnsi="Times New Roman" w:cs="Times New Roman"/>
          <w:sz w:val="24"/>
          <w:szCs w:val="24"/>
          <w:highlight w:val="white"/>
        </w:rPr>
        <w:t xml:space="preserve"> social workers in </w:t>
      </w:r>
      <w:r w:rsidR="00AC0839" w:rsidRPr="001A2D15">
        <w:rPr>
          <w:rFonts w:ascii="Times New Roman" w:eastAsia="Times New Roman" w:hAnsi="Times New Roman" w:cs="Times New Roman"/>
          <w:sz w:val="24"/>
          <w:szCs w:val="24"/>
          <w:highlight w:val="white"/>
        </w:rPr>
        <w:t>retorting</w:t>
      </w:r>
      <w:r w:rsidR="00AC0839">
        <w:rPr>
          <w:rFonts w:ascii="Times New Roman" w:eastAsia="Times New Roman" w:hAnsi="Times New Roman" w:cs="Times New Roman"/>
          <w:sz w:val="24"/>
          <w:szCs w:val="24"/>
          <w:highlight w:val="white"/>
        </w:rPr>
        <w:t xml:space="preserve"> to customers</w:t>
      </w:r>
      <w:r w:rsidRPr="001A2D15">
        <w:rPr>
          <w:rFonts w:ascii="Times New Roman" w:eastAsia="Times New Roman" w:hAnsi="Times New Roman" w:cs="Times New Roman"/>
          <w:sz w:val="24"/>
          <w:szCs w:val="24"/>
          <w:highlight w:val="white"/>
        </w:rPr>
        <w:t>. Clients who</w:t>
      </w:r>
      <w:r w:rsidR="00AC0839">
        <w:rPr>
          <w:rFonts w:ascii="Times New Roman" w:eastAsia="Times New Roman" w:hAnsi="Times New Roman" w:cs="Times New Roman"/>
          <w:sz w:val="24"/>
          <w:szCs w:val="24"/>
          <w:highlight w:val="white"/>
        </w:rPr>
        <w:t xml:space="preserve"> are</w:t>
      </w:r>
      <w:r w:rsidRPr="001A2D15">
        <w:rPr>
          <w:rFonts w:ascii="Times New Roman" w:eastAsia="Times New Roman" w:hAnsi="Times New Roman" w:cs="Times New Roman"/>
          <w:sz w:val="24"/>
          <w:szCs w:val="24"/>
          <w:highlight w:val="white"/>
        </w:rPr>
        <w:t xml:space="preserve"> id</w:t>
      </w:r>
      <w:r w:rsidR="00AC0839">
        <w:rPr>
          <w:rFonts w:ascii="Times New Roman" w:eastAsia="Times New Roman" w:hAnsi="Times New Roman" w:cs="Times New Roman"/>
          <w:sz w:val="24"/>
          <w:szCs w:val="24"/>
          <w:highlight w:val="white"/>
        </w:rPr>
        <w:t>entified</w:t>
      </w:r>
      <w:r w:rsidRPr="001A2D15">
        <w:rPr>
          <w:rFonts w:ascii="Times New Roman" w:eastAsia="Times New Roman" w:hAnsi="Times New Roman" w:cs="Times New Roman"/>
          <w:sz w:val="24"/>
          <w:szCs w:val="24"/>
          <w:highlight w:val="white"/>
        </w:rPr>
        <w:t xml:space="preserve"> as citizens are considered a lower class with </w:t>
      </w:r>
      <w:r w:rsidR="00AC0839" w:rsidRPr="001A2D15">
        <w:rPr>
          <w:rFonts w:ascii="Times New Roman" w:eastAsia="Times New Roman" w:hAnsi="Times New Roman" w:cs="Times New Roman"/>
          <w:sz w:val="24"/>
          <w:szCs w:val="24"/>
          <w:highlight w:val="white"/>
        </w:rPr>
        <w:t>understanding</w:t>
      </w:r>
      <w:r w:rsidRPr="001A2D15">
        <w:rPr>
          <w:rFonts w:ascii="Times New Roman" w:eastAsia="Times New Roman" w:hAnsi="Times New Roman" w:cs="Times New Roman"/>
          <w:sz w:val="24"/>
          <w:szCs w:val="24"/>
          <w:highlight w:val="white"/>
        </w:rPr>
        <w:t xml:space="preserve"> and </w:t>
      </w:r>
      <w:r w:rsidR="00AC0839" w:rsidRPr="001A2D15">
        <w:rPr>
          <w:rFonts w:ascii="Times New Roman" w:eastAsia="Times New Roman" w:hAnsi="Times New Roman" w:cs="Times New Roman"/>
          <w:sz w:val="24"/>
          <w:szCs w:val="24"/>
          <w:highlight w:val="white"/>
        </w:rPr>
        <w:t>authentication</w:t>
      </w:r>
      <w:r w:rsidRPr="001A2D15">
        <w:rPr>
          <w:rFonts w:ascii="Times New Roman" w:eastAsia="Times New Roman" w:hAnsi="Times New Roman" w:cs="Times New Roman"/>
          <w:sz w:val="24"/>
          <w:szCs w:val="24"/>
          <w:highlight w:val="white"/>
        </w:rPr>
        <w:t xml:space="preserve"> and without </w:t>
      </w:r>
      <w:r w:rsidR="00AC0839" w:rsidRPr="001A2D15">
        <w:rPr>
          <w:rFonts w:ascii="Times New Roman" w:eastAsia="Times New Roman" w:hAnsi="Times New Roman" w:cs="Times New Roman"/>
          <w:sz w:val="24"/>
          <w:szCs w:val="24"/>
          <w:highlight w:val="white"/>
        </w:rPr>
        <w:t>diminishing</w:t>
      </w:r>
      <w:r w:rsidRPr="001A2D15">
        <w:rPr>
          <w:rFonts w:ascii="Times New Roman" w:eastAsia="Times New Roman" w:hAnsi="Times New Roman" w:cs="Times New Roman"/>
          <w:sz w:val="24"/>
          <w:szCs w:val="24"/>
          <w:highlight w:val="white"/>
        </w:rPr>
        <w:t xml:space="preserve">, </w:t>
      </w:r>
      <w:r w:rsidR="00AC0839" w:rsidRPr="001A2D15">
        <w:rPr>
          <w:rFonts w:ascii="Times New Roman" w:eastAsia="Times New Roman" w:hAnsi="Times New Roman" w:cs="Times New Roman"/>
          <w:sz w:val="24"/>
          <w:szCs w:val="24"/>
          <w:highlight w:val="white"/>
        </w:rPr>
        <w:t>discharging</w:t>
      </w:r>
      <w:r w:rsidRPr="001A2D15">
        <w:rPr>
          <w:rFonts w:ascii="Times New Roman" w:eastAsia="Times New Roman" w:hAnsi="Times New Roman" w:cs="Times New Roman"/>
          <w:sz w:val="24"/>
          <w:szCs w:val="24"/>
          <w:highlight w:val="white"/>
        </w:rPr>
        <w:t xml:space="preserve">, or </w:t>
      </w:r>
      <w:r w:rsidR="00AC0839" w:rsidRPr="001A2D15">
        <w:rPr>
          <w:rFonts w:ascii="Times New Roman" w:eastAsia="Times New Roman" w:hAnsi="Times New Roman" w:cs="Times New Roman"/>
          <w:sz w:val="24"/>
          <w:szCs w:val="24"/>
          <w:highlight w:val="white"/>
        </w:rPr>
        <w:t>vindicating</w:t>
      </w:r>
      <w:r w:rsidRPr="001A2D15">
        <w:rPr>
          <w:rFonts w:ascii="Times New Roman" w:eastAsia="Times New Roman" w:hAnsi="Times New Roman" w:cs="Times New Roman"/>
          <w:sz w:val="24"/>
          <w:szCs w:val="24"/>
          <w:highlight w:val="white"/>
        </w:rPr>
        <w:t xml:space="preserve"> their negative </w:t>
      </w:r>
      <w:r w:rsidR="00AC0839" w:rsidRPr="001A2D15">
        <w:rPr>
          <w:rFonts w:ascii="Times New Roman" w:eastAsia="Times New Roman" w:hAnsi="Times New Roman" w:cs="Times New Roman"/>
          <w:sz w:val="24"/>
          <w:szCs w:val="24"/>
          <w:highlight w:val="white"/>
        </w:rPr>
        <w:t>practices</w:t>
      </w:r>
      <w:r w:rsidRPr="001A2D15">
        <w:rPr>
          <w:rFonts w:ascii="Times New Roman" w:eastAsia="Times New Roman" w:hAnsi="Times New Roman" w:cs="Times New Roman"/>
          <w:sz w:val="24"/>
          <w:szCs w:val="24"/>
          <w:highlight w:val="white"/>
        </w:rPr>
        <w:t xml:space="preserve"> onto their clients (</w:t>
      </w:r>
      <w:r w:rsidR="00D11F61">
        <w:rPr>
          <w:rFonts w:ascii="Times New Roman" w:eastAsia="Times New Roman" w:hAnsi="Times New Roman" w:cs="Times New Roman"/>
          <w:sz w:val="24"/>
          <w:szCs w:val="24"/>
        </w:rPr>
        <w:t>Howard</w:t>
      </w:r>
      <w:r w:rsidR="00B50EB6">
        <w:rPr>
          <w:rFonts w:ascii="Times New Roman" w:eastAsia="Times New Roman" w:hAnsi="Times New Roman" w:cs="Times New Roman"/>
          <w:sz w:val="24"/>
          <w:szCs w:val="24"/>
        </w:rPr>
        <w:t>,</w:t>
      </w:r>
      <w:r w:rsidR="00B50EB6" w:rsidRPr="001A2D15">
        <w:rPr>
          <w:rFonts w:ascii="Times New Roman" w:eastAsia="Times New Roman" w:hAnsi="Times New Roman" w:cs="Times New Roman"/>
          <w:sz w:val="24"/>
          <w:szCs w:val="24"/>
        </w:rPr>
        <w:t xml:space="preserve"> 2020</w:t>
      </w:r>
      <w:r w:rsidRPr="001A2D15">
        <w:rPr>
          <w:rFonts w:ascii="Times New Roman" w:eastAsia="Times New Roman" w:hAnsi="Times New Roman" w:cs="Times New Roman"/>
          <w:sz w:val="24"/>
          <w:szCs w:val="24"/>
        </w:rPr>
        <w:t xml:space="preserve">). To be able to use clinical judgment in high-risk situations, social workers have to rely on their training. The training stems from knowledge learned in education, experience, and problem-solving capabilities in past examples. This can sometimes bring fear in social workers, wondering if they're making the wrong decision that can affect clients' trust. </w:t>
      </w:r>
    </w:p>
    <w:p w14:paraId="0000000B" w14:textId="4222D065" w:rsidR="009364E0" w:rsidRPr="001A2D15" w:rsidRDefault="00430EC2">
      <w:pPr>
        <w:shd w:val="clear" w:color="auto" w:fill="FFFFFF"/>
        <w:spacing w:before="140" w:after="280" w:line="480" w:lineRule="auto"/>
        <w:ind w:firstLine="720"/>
        <w:contextualSpacing/>
        <w:rPr>
          <w:rFonts w:ascii="Times New Roman" w:eastAsia="Times New Roman" w:hAnsi="Times New Roman" w:cs="Times New Roman"/>
          <w:sz w:val="24"/>
          <w:szCs w:val="24"/>
        </w:rPr>
      </w:pPr>
      <w:r w:rsidRPr="001A2D15">
        <w:rPr>
          <w:rFonts w:ascii="Times New Roman" w:eastAsia="Times New Roman" w:hAnsi="Times New Roman" w:cs="Times New Roman"/>
          <w:sz w:val="24"/>
          <w:szCs w:val="24"/>
        </w:rPr>
        <w:t xml:space="preserve">Social workers have to build a strong foundation with their clients. Trust builds openness that allows social workers to have open communication. </w:t>
      </w:r>
      <w:r w:rsidRPr="001A2D15">
        <w:rPr>
          <w:rFonts w:ascii="Times New Roman" w:eastAsia="Times New Roman" w:hAnsi="Times New Roman" w:cs="Times New Roman"/>
          <w:color w:val="202124"/>
          <w:sz w:val="24"/>
          <w:szCs w:val="24"/>
          <w:highlight w:val="white"/>
        </w:rPr>
        <w:t>Social workers who work with children and fa</w:t>
      </w:r>
      <w:r w:rsidR="00AC0839">
        <w:rPr>
          <w:rFonts w:ascii="Times New Roman" w:eastAsia="Times New Roman" w:hAnsi="Times New Roman" w:cs="Times New Roman"/>
          <w:color w:val="202124"/>
          <w:sz w:val="24"/>
          <w:szCs w:val="24"/>
          <w:highlight w:val="white"/>
        </w:rPr>
        <w:t>milies have to offer help on child neglect investigations and accommodate children in safe places</w:t>
      </w:r>
      <w:r w:rsidRPr="001A2D15">
        <w:rPr>
          <w:rFonts w:ascii="Times New Roman" w:eastAsia="Times New Roman" w:hAnsi="Times New Roman" w:cs="Times New Roman"/>
          <w:color w:val="202124"/>
          <w:sz w:val="24"/>
          <w:szCs w:val="24"/>
          <w:highlight w:val="white"/>
        </w:rPr>
        <w:t>.  Street-level bureaucrats hold their own views that may affect their decision and how they provide a q</w:t>
      </w:r>
      <w:r w:rsidR="00AC0839">
        <w:rPr>
          <w:rFonts w:ascii="Times New Roman" w:eastAsia="Times New Roman" w:hAnsi="Times New Roman" w:cs="Times New Roman"/>
          <w:color w:val="202124"/>
          <w:sz w:val="24"/>
          <w:szCs w:val="24"/>
          <w:highlight w:val="white"/>
        </w:rPr>
        <w:t>uality of service. Particularly</w:t>
      </w:r>
      <w:r w:rsidRPr="001A2D15">
        <w:rPr>
          <w:rFonts w:ascii="Times New Roman" w:eastAsia="Times New Roman" w:hAnsi="Times New Roman" w:cs="Times New Roman"/>
          <w:color w:val="202124"/>
          <w:sz w:val="24"/>
          <w:szCs w:val="24"/>
          <w:highlight w:val="white"/>
        </w:rPr>
        <w:t xml:space="preserve">, patterns of practice, a conception of the job, and conceptions of the </w:t>
      </w:r>
      <w:r w:rsidR="002175B9" w:rsidRPr="001A2D15">
        <w:rPr>
          <w:rFonts w:ascii="Times New Roman" w:eastAsia="Times New Roman" w:hAnsi="Times New Roman" w:cs="Times New Roman"/>
          <w:color w:val="202124"/>
          <w:sz w:val="24"/>
          <w:szCs w:val="24"/>
          <w:highlight w:val="white"/>
        </w:rPr>
        <w:t>customers</w:t>
      </w:r>
      <w:r w:rsidRPr="001A2D15">
        <w:rPr>
          <w:rFonts w:ascii="Times New Roman" w:eastAsia="Times New Roman" w:hAnsi="Times New Roman" w:cs="Times New Roman"/>
          <w:color w:val="202124"/>
          <w:sz w:val="24"/>
          <w:szCs w:val="24"/>
          <w:highlight w:val="white"/>
        </w:rPr>
        <w:t xml:space="preserve"> must fit together if street-level bureaucrats </w:t>
      </w:r>
      <w:r w:rsidR="002175B9">
        <w:rPr>
          <w:rFonts w:ascii="Times New Roman" w:eastAsia="Times New Roman" w:hAnsi="Times New Roman" w:cs="Times New Roman"/>
          <w:color w:val="202124"/>
          <w:sz w:val="24"/>
          <w:szCs w:val="24"/>
          <w:highlight w:val="white"/>
        </w:rPr>
        <w:t>settle</w:t>
      </w:r>
      <w:r w:rsidRPr="001A2D15">
        <w:rPr>
          <w:rFonts w:ascii="Times New Roman" w:eastAsia="Times New Roman" w:hAnsi="Times New Roman" w:cs="Times New Roman"/>
          <w:color w:val="202124"/>
          <w:sz w:val="24"/>
          <w:szCs w:val="24"/>
          <w:highlight w:val="white"/>
        </w:rPr>
        <w:t xml:space="preserve"> work </w:t>
      </w:r>
      <w:r w:rsidR="002175B9" w:rsidRPr="001A2D15">
        <w:rPr>
          <w:rFonts w:ascii="Times New Roman" w:eastAsia="Times New Roman" w:hAnsi="Times New Roman" w:cs="Times New Roman"/>
          <w:color w:val="202124"/>
          <w:sz w:val="24"/>
          <w:szCs w:val="24"/>
          <w:highlight w:val="white"/>
        </w:rPr>
        <w:t>illogical</w:t>
      </w:r>
      <w:r w:rsidR="002175B9">
        <w:rPr>
          <w:rFonts w:ascii="Times New Roman" w:eastAsia="Times New Roman" w:hAnsi="Times New Roman" w:cs="Times New Roman"/>
          <w:color w:val="202124"/>
          <w:sz w:val="24"/>
          <w:szCs w:val="24"/>
          <w:highlight w:val="white"/>
        </w:rPr>
        <w:t>ities</w:t>
      </w:r>
      <w:r w:rsidR="00D11F61">
        <w:rPr>
          <w:rFonts w:ascii="Times New Roman" w:eastAsia="Times New Roman" w:hAnsi="Times New Roman" w:cs="Times New Roman"/>
          <w:color w:val="202124"/>
          <w:sz w:val="24"/>
          <w:szCs w:val="24"/>
          <w:highlight w:val="white"/>
        </w:rPr>
        <w:t xml:space="preserve"> successfully. </w:t>
      </w:r>
      <w:r w:rsidRPr="001A2D15">
        <w:rPr>
          <w:rFonts w:ascii="Times New Roman" w:eastAsia="Times New Roman" w:hAnsi="Times New Roman" w:cs="Times New Roman"/>
          <w:color w:val="202124"/>
          <w:sz w:val="24"/>
          <w:szCs w:val="24"/>
          <w:highlight w:val="white"/>
        </w:rPr>
        <w:t>Social worker clients witness unfairness in situations where children have to be removed from neglectful parents. Simultaneously, street-level bureaucrats see a rational solution for placing children in a safe and stable environment</w:t>
      </w:r>
      <w:r w:rsidR="00D11F61">
        <w:rPr>
          <w:rFonts w:ascii="Times New Roman" w:eastAsia="Times New Roman" w:hAnsi="Times New Roman" w:cs="Times New Roman"/>
          <w:color w:val="202124"/>
          <w:sz w:val="24"/>
          <w:szCs w:val="24"/>
          <w:highlight w:val="white"/>
        </w:rPr>
        <w:t xml:space="preserve"> </w:t>
      </w:r>
      <w:r w:rsidR="00D11F61" w:rsidRPr="00D11F61">
        <w:rPr>
          <w:rFonts w:ascii="Times New Roman" w:hAnsi="Times New Roman" w:cs="Times New Roman"/>
          <w:color w:val="333333"/>
          <w:sz w:val="24"/>
          <w:szCs w:val="24"/>
          <w:shd w:val="clear" w:color="auto" w:fill="FFFFFF"/>
        </w:rPr>
        <w:t>(Harrits, 2018)</w:t>
      </w:r>
      <w:r w:rsidRPr="00D11F61">
        <w:rPr>
          <w:rFonts w:ascii="Times New Roman" w:eastAsia="Times New Roman" w:hAnsi="Times New Roman" w:cs="Times New Roman"/>
          <w:color w:val="202124"/>
          <w:sz w:val="24"/>
          <w:szCs w:val="24"/>
          <w:highlight w:val="white"/>
        </w:rPr>
        <w:t>.</w:t>
      </w:r>
    </w:p>
    <w:p w14:paraId="0000000C" w14:textId="77777777" w:rsidR="009364E0" w:rsidRPr="001A2D15" w:rsidRDefault="009364E0">
      <w:pPr>
        <w:shd w:val="clear" w:color="auto" w:fill="FFFFFF"/>
        <w:spacing w:before="140" w:after="280" w:line="480" w:lineRule="auto"/>
        <w:ind w:firstLine="720"/>
        <w:contextualSpacing/>
        <w:rPr>
          <w:rFonts w:ascii="Times New Roman" w:eastAsia="Times New Roman" w:hAnsi="Times New Roman" w:cs="Times New Roman"/>
          <w:sz w:val="24"/>
          <w:szCs w:val="24"/>
          <w:highlight w:val="white"/>
        </w:rPr>
      </w:pPr>
    </w:p>
    <w:p w14:paraId="0000001B" w14:textId="77777777" w:rsidR="009364E0" w:rsidRPr="001A2D15" w:rsidRDefault="009364E0">
      <w:pPr>
        <w:shd w:val="clear" w:color="auto" w:fill="FFFFFF"/>
        <w:spacing w:before="140" w:after="280" w:line="480" w:lineRule="auto"/>
        <w:ind w:firstLine="720"/>
        <w:rPr>
          <w:rFonts w:ascii="Times New Roman" w:eastAsia="Times New Roman" w:hAnsi="Times New Roman" w:cs="Times New Roman"/>
          <w:sz w:val="24"/>
          <w:szCs w:val="24"/>
        </w:rPr>
      </w:pPr>
    </w:p>
    <w:p w14:paraId="485B2E5A" w14:textId="77777777" w:rsidR="001A2D15" w:rsidRPr="001A2D15" w:rsidRDefault="001A2D15">
      <w:pPr>
        <w:shd w:val="clear" w:color="auto" w:fill="FFFFFF"/>
        <w:spacing w:before="140" w:after="280" w:line="480" w:lineRule="auto"/>
        <w:ind w:firstLine="720"/>
        <w:rPr>
          <w:rFonts w:ascii="Times New Roman" w:eastAsia="Times New Roman" w:hAnsi="Times New Roman" w:cs="Times New Roman"/>
          <w:sz w:val="24"/>
          <w:szCs w:val="24"/>
        </w:rPr>
      </w:pPr>
    </w:p>
    <w:p w14:paraId="6D0E13F3" w14:textId="77777777" w:rsidR="001A2D15" w:rsidRPr="001A2D15" w:rsidRDefault="001A2D15">
      <w:pPr>
        <w:shd w:val="clear" w:color="auto" w:fill="FFFFFF"/>
        <w:spacing w:before="140" w:after="280" w:line="480" w:lineRule="auto"/>
        <w:ind w:firstLine="720"/>
        <w:rPr>
          <w:rFonts w:ascii="Times New Roman" w:eastAsia="Times New Roman" w:hAnsi="Times New Roman" w:cs="Times New Roman"/>
          <w:sz w:val="24"/>
          <w:szCs w:val="24"/>
        </w:rPr>
      </w:pPr>
    </w:p>
    <w:p w14:paraId="502048A3" w14:textId="77777777" w:rsidR="001A2D15" w:rsidRPr="001A2D15" w:rsidRDefault="001A2D15">
      <w:pPr>
        <w:shd w:val="clear" w:color="auto" w:fill="FFFFFF"/>
        <w:spacing w:before="140" w:after="280" w:line="480" w:lineRule="auto"/>
        <w:ind w:firstLine="720"/>
        <w:rPr>
          <w:rFonts w:ascii="Times New Roman" w:eastAsia="Times New Roman" w:hAnsi="Times New Roman" w:cs="Times New Roman"/>
          <w:sz w:val="24"/>
          <w:szCs w:val="24"/>
        </w:rPr>
      </w:pPr>
    </w:p>
    <w:p w14:paraId="018F7CB2" w14:textId="77777777" w:rsidR="001A2D15" w:rsidRPr="001A2D15" w:rsidRDefault="001A2D15">
      <w:pPr>
        <w:shd w:val="clear" w:color="auto" w:fill="FFFFFF"/>
        <w:spacing w:before="140" w:after="280" w:line="480" w:lineRule="auto"/>
        <w:ind w:firstLine="720"/>
        <w:rPr>
          <w:rFonts w:ascii="Times New Roman" w:eastAsia="Times New Roman" w:hAnsi="Times New Roman" w:cs="Times New Roman"/>
          <w:sz w:val="24"/>
          <w:szCs w:val="24"/>
        </w:rPr>
      </w:pPr>
    </w:p>
    <w:p w14:paraId="78AF6638" w14:textId="77777777" w:rsidR="001A2D15" w:rsidRDefault="001A2D15">
      <w:pPr>
        <w:shd w:val="clear" w:color="auto" w:fill="FFFFFF"/>
        <w:spacing w:before="140" w:after="280" w:line="480" w:lineRule="auto"/>
        <w:ind w:firstLine="720"/>
        <w:rPr>
          <w:rFonts w:ascii="Times New Roman" w:eastAsia="Times New Roman" w:hAnsi="Times New Roman" w:cs="Times New Roman"/>
          <w:sz w:val="24"/>
          <w:szCs w:val="24"/>
        </w:rPr>
      </w:pPr>
    </w:p>
    <w:p w14:paraId="357FEF6D" w14:textId="77777777" w:rsidR="00270D5D" w:rsidRDefault="00270D5D">
      <w:pPr>
        <w:shd w:val="clear" w:color="auto" w:fill="FFFFFF"/>
        <w:spacing w:before="140" w:after="280" w:line="480" w:lineRule="auto"/>
        <w:ind w:firstLine="720"/>
        <w:rPr>
          <w:rFonts w:ascii="Times New Roman" w:eastAsia="Times New Roman" w:hAnsi="Times New Roman" w:cs="Times New Roman"/>
          <w:sz w:val="24"/>
          <w:szCs w:val="24"/>
        </w:rPr>
      </w:pPr>
    </w:p>
    <w:p w14:paraId="24DD7AF0" w14:textId="77777777" w:rsidR="00D11F61" w:rsidRDefault="00D11F61">
      <w:pPr>
        <w:shd w:val="clear" w:color="auto" w:fill="FFFFFF"/>
        <w:spacing w:before="140" w:after="280" w:line="480" w:lineRule="auto"/>
        <w:ind w:firstLine="720"/>
        <w:rPr>
          <w:rFonts w:ascii="Times New Roman" w:eastAsia="Times New Roman" w:hAnsi="Times New Roman" w:cs="Times New Roman"/>
          <w:sz w:val="24"/>
          <w:szCs w:val="24"/>
        </w:rPr>
      </w:pPr>
    </w:p>
    <w:p w14:paraId="2D6870A4" w14:textId="77777777" w:rsidR="001A2D15" w:rsidRPr="001A2D15" w:rsidRDefault="00430EC2" w:rsidP="001A2D15">
      <w:pPr>
        <w:shd w:val="clear" w:color="auto" w:fill="FFFFFF"/>
        <w:spacing w:line="240" w:lineRule="auto"/>
        <w:jc w:val="center"/>
        <w:rPr>
          <w:rFonts w:ascii="Times New Roman" w:eastAsia="Times New Roman" w:hAnsi="Times New Roman" w:cs="Times New Roman"/>
          <w:sz w:val="24"/>
          <w:szCs w:val="24"/>
          <w:lang w:val="en-US"/>
        </w:rPr>
      </w:pPr>
      <w:r w:rsidRPr="001A2D15">
        <w:rPr>
          <w:rFonts w:ascii="Times New Roman" w:eastAsia="Times New Roman" w:hAnsi="Times New Roman" w:cs="Times New Roman"/>
          <w:sz w:val="24"/>
          <w:szCs w:val="24"/>
          <w:lang w:val="en-US"/>
        </w:rPr>
        <w:t>References</w:t>
      </w:r>
    </w:p>
    <w:p w14:paraId="1AB61494" w14:textId="77777777" w:rsidR="001A2D15" w:rsidRPr="001A2D15" w:rsidRDefault="00430EC2" w:rsidP="001A2D15">
      <w:pPr>
        <w:shd w:val="clear" w:color="auto" w:fill="FFFFFF"/>
        <w:spacing w:line="550" w:lineRule="atLeast"/>
        <w:ind w:left="720" w:right="75" w:hanging="720"/>
        <w:rPr>
          <w:rFonts w:ascii="Times New Roman" w:eastAsia="Times New Roman" w:hAnsi="Times New Roman" w:cs="Times New Roman"/>
          <w:sz w:val="24"/>
          <w:szCs w:val="24"/>
          <w:lang w:val="en-US"/>
        </w:rPr>
      </w:pPr>
      <w:r w:rsidRPr="001A2D15">
        <w:rPr>
          <w:rFonts w:ascii="Times New Roman" w:eastAsia="Times New Roman" w:hAnsi="Times New Roman" w:cs="Times New Roman"/>
          <w:sz w:val="24"/>
          <w:szCs w:val="24"/>
          <w:lang w:val="en-US"/>
        </w:rPr>
        <w:t>Harrits, G. S. (2018). Stereotypes in context: How and when do street-level bureaucrats use class stereotypes? </w:t>
      </w:r>
      <w:r w:rsidRPr="001A2D15">
        <w:rPr>
          <w:rFonts w:ascii="Times New Roman" w:eastAsia="Times New Roman" w:hAnsi="Times New Roman" w:cs="Times New Roman"/>
          <w:i/>
          <w:iCs/>
          <w:sz w:val="24"/>
          <w:szCs w:val="24"/>
          <w:lang w:val="en-US"/>
        </w:rPr>
        <w:t>Public Administration Review</w:t>
      </w:r>
      <w:r w:rsidRPr="001A2D15">
        <w:rPr>
          <w:rFonts w:ascii="Times New Roman" w:eastAsia="Times New Roman" w:hAnsi="Times New Roman" w:cs="Times New Roman"/>
          <w:sz w:val="24"/>
          <w:szCs w:val="24"/>
          <w:lang w:val="en-US"/>
        </w:rPr>
        <w:t>, </w:t>
      </w:r>
      <w:r w:rsidRPr="001A2D15">
        <w:rPr>
          <w:rFonts w:ascii="Times New Roman" w:eastAsia="Times New Roman" w:hAnsi="Times New Roman" w:cs="Times New Roman"/>
          <w:i/>
          <w:iCs/>
          <w:sz w:val="24"/>
          <w:szCs w:val="24"/>
          <w:lang w:val="en-US"/>
        </w:rPr>
        <w:t>79</w:t>
      </w:r>
      <w:r w:rsidRPr="001A2D15">
        <w:rPr>
          <w:rFonts w:ascii="Times New Roman" w:eastAsia="Times New Roman" w:hAnsi="Times New Roman" w:cs="Times New Roman"/>
          <w:sz w:val="24"/>
          <w:szCs w:val="24"/>
          <w:lang w:val="en-US"/>
        </w:rPr>
        <w:t>(1), 93-103. </w:t>
      </w:r>
      <w:hyperlink r:id="rId6" w:history="1">
        <w:r w:rsidRPr="001A2D15">
          <w:rPr>
            <w:rFonts w:ascii="Times New Roman" w:eastAsia="Times New Roman" w:hAnsi="Times New Roman" w:cs="Times New Roman"/>
            <w:sz w:val="24"/>
            <w:szCs w:val="24"/>
            <w:lang w:val="en-US"/>
          </w:rPr>
          <w:t>https://doi.org/10.1111/puar.12952</w:t>
        </w:r>
      </w:hyperlink>
    </w:p>
    <w:p w14:paraId="564032CD" w14:textId="77777777" w:rsidR="001A2D15" w:rsidRPr="001A2D15" w:rsidRDefault="00430EC2" w:rsidP="001A2D15">
      <w:pPr>
        <w:shd w:val="clear" w:color="auto" w:fill="FFFFFF"/>
        <w:spacing w:line="550" w:lineRule="atLeast"/>
        <w:ind w:left="720" w:right="75" w:hanging="720"/>
        <w:rPr>
          <w:rFonts w:ascii="Times New Roman" w:eastAsia="Times New Roman" w:hAnsi="Times New Roman" w:cs="Times New Roman"/>
          <w:sz w:val="24"/>
          <w:szCs w:val="24"/>
          <w:lang w:val="en-US"/>
        </w:rPr>
      </w:pPr>
      <w:r w:rsidRPr="001A2D15">
        <w:rPr>
          <w:rFonts w:ascii="Times New Roman" w:eastAsia="Times New Roman" w:hAnsi="Times New Roman" w:cs="Times New Roman"/>
          <w:sz w:val="24"/>
          <w:szCs w:val="24"/>
          <w:lang w:val="en-US"/>
        </w:rPr>
        <w:t>Howard, S. (2018). The Black perspective in clinical social work. </w:t>
      </w:r>
      <w:r w:rsidRPr="001A2D15">
        <w:rPr>
          <w:rFonts w:ascii="Times New Roman" w:eastAsia="Times New Roman" w:hAnsi="Times New Roman" w:cs="Times New Roman"/>
          <w:i/>
          <w:iCs/>
          <w:sz w:val="24"/>
          <w:szCs w:val="24"/>
          <w:lang w:val="en-US"/>
        </w:rPr>
        <w:t>Clinical Social Work Journal</w:t>
      </w:r>
      <w:r w:rsidRPr="001A2D15">
        <w:rPr>
          <w:rFonts w:ascii="Times New Roman" w:eastAsia="Times New Roman" w:hAnsi="Times New Roman" w:cs="Times New Roman"/>
          <w:sz w:val="24"/>
          <w:szCs w:val="24"/>
          <w:lang w:val="en-US"/>
        </w:rPr>
        <w:t>, </w:t>
      </w:r>
      <w:r w:rsidRPr="001A2D15">
        <w:rPr>
          <w:rFonts w:ascii="Times New Roman" w:eastAsia="Times New Roman" w:hAnsi="Times New Roman" w:cs="Times New Roman"/>
          <w:i/>
          <w:iCs/>
          <w:sz w:val="24"/>
          <w:szCs w:val="24"/>
          <w:lang w:val="en-US"/>
        </w:rPr>
        <w:t>48</w:t>
      </w:r>
      <w:r w:rsidRPr="001A2D15">
        <w:rPr>
          <w:rFonts w:ascii="Times New Roman" w:eastAsia="Times New Roman" w:hAnsi="Times New Roman" w:cs="Times New Roman"/>
          <w:sz w:val="24"/>
          <w:szCs w:val="24"/>
          <w:lang w:val="en-US"/>
        </w:rPr>
        <w:t>(4), 335-342. </w:t>
      </w:r>
      <w:hyperlink r:id="rId7" w:history="1">
        <w:r w:rsidRPr="001A2D15">
          <w:rPr>
            <w:rFonts w:ascii="Times New Roman" w:eastAsia="Times New Roman" w:hAnsi="Times New Roman" w:cs="Times New Roman"/>
            <w:sz w:val="24"/>
            <w:szCs w:val="24"/>
            <w:lang w:val="en-US"/>
          </w:rPr>
          <w:t>https://doi.org/10.1007/s10615-018-0663-8</w:t>
        </w:r>
      </w:hyperlink>
    </w:p>
    <w:p w14:paraId="77E9D5C9" w14:textId="77777777" w:rsidR="001A2D15" w:rsidRPr="001A2D15" w:rsidRDefault="00430EC2" w:rsidP="001A2D15">
      <w:pPr>
        <w:shd w:val="clear" w:color="auto" w:fill="FFFFFF"/>
        <w:spacing w:line="550" w:lineRule="atLeast"/>
        <w:ind w:left="720" w:right="75" w:hanging="720"/>
        <w:rPr>
          <w:rFonts w:ascii="Times New Roman" w:eastAsia="Times New Roman" w:hAnsi="Times New Roman" w:cs="Times New Roman"/>
          <w:sz w:val="24"/>
          <w:szCs w:val="24"/>
          <w:lang w:val="en-US"/>
        </w:rPr>
      </w:pPr>
      <w:r w:rsidRPr="001A2D15">
        <w:rPr>
          <w:rFonts w:ascii="Times New Roman" w:eastAsia="Times New Roman" w:hAnsi="Times New Roman" w:cs="Times New Roman"/>
          <w:sz w:val="24"/>
          <w:szCs w:val="24"/>
          <w:lang w:val="en-US"/>
        </w:rPr>
        <w:t>Lipsky, M. (2010). </w:t>
      </w:r>
      <w:r w:rsidRPr="001A2D15">
        <w:rPr>
          <w:rFonts w:ascii="Times New Roman" w:eastAsia="Times New Roman" w:hAnsi="Times New Roman" w:cs="Times New Roman"/>
          <w:i/>
          <w:iCs/>
          <w:sz w:val="24"/>
          <w:szCs w:val="24"/>
          <w:lang w:val="en-US"/>
        </w:rPr>
        <w:t>Street-level bureaucracy, 30th anniversary edition: Dilemmas of the individual in public service</w:t>
      </w:r>
      <w:r w:rsidRPr="001A2D15">
        <w:rPr>
          <w:rFonts w:ascii="Times New Roman" w:eastAsia="Times New Roman" w:hAnsi="Times New Roman" w:cs="Times New Roman"/>
          <w:sz w:val="24"/>
          <w:szCs w:val="24"/>
          <w:lang w:val="en-US"/>
        </w:rPr>
        <w:t>. Russell Sage Foundation.</w:t>
      </w:r>
    </w:p>
    <w:p w14:paraId="60BB6EC3" w14:textId="77777777" w:rsidR="001A2D15" w:rsidRPr="001A2D15" w:rsidRDefault="00430EC2" w:rsidP="001A2D15">
      <w:pPr>
        <w:shd w:val="clear" w:color="auto" w:fill="FFFFFF"/>
        <w:spacing w:line="550" w:lineRule="atLeast"/>
        <w:ind w:left="720" w:right="75" w:hanging="720"/>
        <w:rPr>
          <w:rFonts w:ascii="Times New Roman" w:eastAsia="Times New Roman" w:hAnsi="Times New Roman" w:cs="Times New Roman"/>
          <w:sz w:val="24"/>
          <w:szCs w:val="24"/>
          <w:lang w:val="en-US"/>
        </w:rPr>
      </w:pPr>
      <w:r w:rsidRPr="001A2D15">
        <w:rPr>
          <w:rFonts w:ascii="Times New Roman" w:eastAsia="Times New Roman" w:hAnsi="Times New Roman" w:cs="Times New Roman"/>
          <w:sz w:val="24"/>
          <w:szCs w:val="24"/>
          <w:lang w:val="en-US"/>
        </w:rPr>
        <w:t>Regehr, C. (2018). Stress, trauma, and decision-making for social workers. </w:t>
      </w:r>
      <w:hyperlink r:id="rId8" w:history="1">
        <w:r w:rsidRPr="001A2D15">
          <w:rPr>
            <w:rFonts w:ascii="Times New Roman" w:eastAsia="Times New Roman" w:hAnsi="Times New Roman" w:cs="Times New Roman"/>
            <w:sz w:val="24"/>
            <w:szCs w:val="24"/>
            <w:lang w:val="en-US"/>
          </w:rPr>
          <w:t>https://doi.org/10.7312/rege18012</w:t>
        </w:r>
      </w:hyperlink>
    </w:p>
    <w:p w14:paraId="11951AAA" w14:textId="77777777" w:rsidR="001A2D15" w:rsidRPr="001A2D15" w:rsidRDefault="00430EC2" w:rsidP="001A2D15">
      <w:pPr>
        <w:shd w:val="clear" w:color="auto" w:fill="FFFFFF"/>
        <w:spacing w:line="550" w:lineRule="atLeast"/>
        <w:ind w:left="720" w:right="75" w:hanging="720"/>
        <w:rPr>
          <w:rFonts w:ascii="Times New Roman" w:eastAsia="Times New Roman" w:hAnsi="Times New Roman" w:cs="Times New Roman"/>
          <w:sz w:val="24"/>
          <w:szCs w:val="24"/>
          <w:lang w:val="en-US"/>
        </w:rPr>
      </w:pPr>
      <w:r w:rsidRPr="001A2D15">
        <w:rPr>
          <w:rFonts w:ascii="Times New Roman" w:eastAsia="Times New Roman" w:hAnsi="Times New Roman" w:cs="Times New Roman"/>
          <w:sz w:val="24"/>
          <w:szCs w:val="24"/>
          <w:lang w:val="en-US"/>
        </w:rPr>
        <w:t>Swenson, C. R. (1998). Clinical social work's contribution to a social justice perspective. </w:t>
      </w:r>
      <w:r w:rsidRPr="001A2D15">
        <w:rPr>
          <w:rFonts w:ascii="Times New Roman" w:eastAsia="Times New Roman" w:hAnsi="Times New Roman" w:cs="Times New Roman"/>
          <w:i/>
          <w:iCs/>
          <w:sz w:val="24"/>
          <w:szCs w:val="24"/>
          <w:lang w:val="en-US"/>
        </w:rPr>
        <w:t>Social Work</w:t>
      </w:r>
      <w:r w:rsidRPr="001A2D15">
        <w:rPr>
          <w:rFonts w:ascii="Times New Roman" w:eastAsia="Times New Roman" w:hAnsi="Times New Roman" w:cs="Times New Roman"/>
          <w:sz w:val="24"/>
          <w:szCs w:val="24"/>
          <w:lang w:val="en-US"/>
        </w:rPr>
        <w:t>, </w:t>
      </w:r>
      <w:r w:rsidRPr="001A2D15">
        <w:rPr>
          <w:rFonts w:ascii="Times New Roman" w:eastAsia="Times New Roman" w:hAnsi="Times New Roman" w:cs="Times New Roman"/>
          <w:i/>
          <w:iCs/>
          <w:sz w:val="24"/>
          <w:szCs w:val="24"/>
          <w:lang w:val="en-US"/>
        </w:rPr>
        <w:t>43</w:t>
      </w:r>
      <w:r w:rsidRPr="001A2D15">
        <w:rPr>
          <w:rFonts w:ascii="Times New Roman" w:eastAsia="Times New Roman" w:hAnsi="Times New Roman" w:cs="Times New Roman"/>
          <w:sz w:val="24"/>
          <w:szCs w:val="24"/>
          <w:lang w:val="en-US"/>
        </w:rPr>
        <w:t>(6), 527-537. </w:t>
      </w:r>
      <w:hyperlink r:id="rId9" w:history="1">
        <w:r w:rsidRPr="001A2D15">
          <w:rPr>
            <w:rFonts w:ascii="Times New Roman" w:eastAsia="Times New Roman" w:hAnsi="Times New Roman" w:cs="Times New Roman"/>
            <w:sz w:val="24"/>
            <w:szCs w:val="24"/>
            <w:lang w:val="en-US"/>
          </w:rPr>
          <w:t>https://doi.org/10.1093/sw/43.6.527</w:t>
        </w:r>
      </w:hyperlink>
    </w:p>
    <w:p w14:paraId="7BF15CF7" w14:textId="77777777" w:rsidR="001A2D15" w:rsidRPr="001A2D15" w:rsidRDefault="001A2D15">
      <w:pPr>
        <w:shd w:val="clear" w:color="auto" w:fill="FFFFFF"/>
        <w:spacing w:before="140" w:after="280" w:line="480" w:lineRule="auto"/>
        <w:ind w:firstLine="720"/>
        <w:rPr>
          <w:rFonts w:ascii="Times New Roman" w:eastAsia="Times New Roman" w:hAnsi="Times New Roman" w:cs="Times New Roman"/>
          <w:sz w:val="24"/>
          <w:szCs w:val="24"/>
        </w:rPr>
      </w:pPr>
    </w:p>
    <w:sectPr w:rsidR="001A2D15" w:rsidRPr="001A2D15">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D74EA" w14:textId="77777777" w:rsidR="00430EC2" w:rsidRDefault="00430EC2">
      <w:pPr>
        <w:spacing w:line="240" w:lineRule="auto"/>
      </w:pPr>
      <w:r>
        <w:separator/>
      </w:r>
    </w:p>
  </w:endnote>
  <w:endnote w:type="continuationSeparator" w:id="0">
    <w:p w14:paraId="013C33D0" w14:textId="77777777" w:rsidR="00430EC2" w:rsidRDefault="00430E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4AF75" w14:textId="77777777" w:rsidR="00430EC2" w:rsidRDefault="00430EC2">
      <w:pPr>
        <w:spacing w:line="240" w:lineRule="auto"/>
      </w:pPr>
      <w:r>
        <w:separator/>
      </w:r>
    </w:p>
  </w:footnote>
  <w:footnote w:type="continuationSeparator" w:id="0">
    <w:p w14:paraId="72183AAD" w14:textId="77777777" w:rsidR="00430EC2" w:rsidRDefault="00430E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4314836"/>
      <w:docPartObj>
        <w:docPartGallery w:val="Page Numbers (Top of Page)"/>
        <w:docPartUnique/>
      </w:docPartObj>
    </w:sdtPr>
    <w:sdtEndPr>
      <w:rPr>
        <w:noProof/>
      </w:rPr>
    </w:sdtEndPr>
    <w:sdtContent>
      <w:p w14:paraId="707C1B7C" w14:textId="39C07796" w:rsidR="005F5843" w:rsidRDefault="00430EC2">
        <w:pPr>
          <w:pStyle w:val="Header"/>
          <w:jc w:val="right"/>
        </w:pPr>
        <w:r>
          <w:fldChar w:fldCharType="begin"/>
        </w:r>
        <w:r>
          <w:instrText xml:space="preserve"> PAGE   \* MERGEFORMAT </w:instrText>
        </w:r>
        <w:r>
          <w:fldChar w:fldCharType="separate"/>
        </w:r>
        <w:r w:rsidR="00F9206C">
          <w:rPr>
            <w:noProof/>
          </w:rPr>
          <w:t>1</w:t>
        </w:r>
        <w:r>
          <w:rPr>
            <w:noProof/>
          </w:rPr>
          <w:fldChar w:fldCharType="end"/>
        </w:r>
      </w:p>
    </w:sdtContent>
  </w:sdt>
  <w:p w14:paraId="036ADA31" w14:textId="77777777" w:rsidR="005F5843" w:rsidRDefault="005F58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4E0"/>
    <w:rsid w:val="001A2D15"/>
    <w:rsid w:val="002175B9"/>
    <w:rsid w:val="00270D5D"/>
    <w:rsid w:val="00430EC2"/>
    <w:rsid w:val="005F5843"/>
    <w:rsid w:val="00602C26"/>
    <w:rsid w:val="00616349"/>
    <w:rsid w:val="009364E0"/>
    <w:rsid w:val="00964D11"/>
    <w:rsid w:val="009D2B23"/>
    <w:rsid w:val="00AC0839"/>
    <w:rsid w:val="00B327D9"/>
    <w:rsid w:val="00B50EB6"/>
    <w:rsid w:val="00D11F61"/>
    <w:rsid w:val="00D45A90"/>
    <w:rsid w:val="00E71712"/>
    <w:rsid w:val="00F92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837C7-2AA8-4DB2-8ABA-C350FFDA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F5843"/>
    <w:pPr>
      <w:tabs>
        <w:tab w:val="center" w:pos="4680"/>
        <w:tab w:val="right" w:pos="9360"/>
      </w:tabs>
      <w:spacing w:line="240" w:lineRule="auto"/>
    </w:pPr>
  </w:style>
  <w:style w:type="character" w:customStyle="1" w:styleId="HeaderChar">
    <w:name w:val="Header Char"/>
    <w:basedOn w:val="DefaultParagraphFont"/>
    <w:link w:val="Header"/>
    <w:uiPriority w:val="99"/>
    <w:rsid w:val="005F5843"/>
  </w:style>
  <w:style w:type="paragraph" w:styleId="Footer">
    <w:name w:val="footer"/>
    <w:basedOn w:val="Normal"/>
    <w:link w:val="FooterChar"/>
    <w:uiPriority w:val="99"/>
    <w:unhideWhenUsed/>
    <w:rsid w:val="005F5843"/>
    <w:pPr>
      <w:tabs>
        <w:tab w:val="center" w:pos="4680"/>
        <w:tab w:val="right" w:pos="9360"/>
      </w:tabs>
      <w:spacing w:line="240" w:lineRule="auto"/>
    </w:pPr>
  </w:style>
  <w:style w:type="character" w:customStyle="1" w:styleId="FooterChar">
    <w:name w:val="Footer Char"/>
    <w:basedOn w:val="DefaultParagraphFont"/>
    <w:link w:val="Footer"/>
    <w:uiPriority w:val="99"/>
    <w:rsid w:val="005F5843"/>
  </w:style>
  <w:style w:type="paragraph" w:styleId="NormalWeb">
    <w:name w:val="Normal (Web)"/>
    <w:basedOn w:val="Normal"/>
    <w:uiPriority w:val="99"/>
    <w:semiHidden/>
    <w:unhideWhenUsed/>
    <w:rsid w:val="001A2D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1A2D15"/>
    <w:rPr>
      <w:i/>
      <w:iCs/>
    </w:rPr>
  </w:style>
  <w:style w:type="character" w:styleId="Hyperlink">
    <w:name w:val="Hyperlink"/>
    <w:basedOn w:val="DefaultParagraphFont"/>
    <w:uiPriority w:val="99"/>
    <w:semiHidden/>
    <w:unhideWhenUsed/>
    <w:rsid w:val="001A2D15"/>
    <w:rPr>
      <w:color w:val="0000FF"/>
      <w:u w:val="single"/>
    </w:rPr>
  </w:style>
  <w:style w:type="character" w:customStyle="1" w:styleId="gray">
    <w:name w:val="gray"/>
    <w:basedOn w:val="DefaultParagraphFont"/>
    <w:rsid w:val="001A2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i.org/10.7312/rege18012" TargetMode="External" /><Relationship Id="rId3" Type="http://schemas.openxmlformats.org/officeDocument/2006/relationships/webSettings" Target="webSettings.xml" /><Relationship Id="rId7" Type="http://schemas.openxmlformats.org/officeDocument/2006/relationships/hyperlink" Target="https://doi.org/10.1007/s10615-018-0663-8" TargetMode="Externa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111/puar.12952" TargetMode="External"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header" Target="header1.xml" /><Relationship Id="rId4" Type="http://schemas.openxmlformats.org/officeDocument/2006/relationships/footnotes" Target="footnotes.xml" /><Relationship Id="rId9" Type="http://schemas.openxmlformats.org/officeDocument/2006/relationships/hyperlink" Target="https://doi.org/10.1093/sw/43.6.5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nyoike31@gmail.com</cp:lastModifiedBy>
  <cp:revision>2</cp:revision>
  <dcterms:created xsi:type="dcterms:W3CDTF">2021-03-10T20:34:00Z</dcterms:created>
  <dcterms:modified xsi:type="dcterms:W3CDTF">2021-03-10T20:34:00Z</dcterms:modified>
</cp:coreProperties>
</file>