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C62C" w14:textId="77777777" w:rsidR="008E00E7" w:rsidRPr="008E00E7" w:rsidRDefault="008E00E7" w:rsidP="008E00E7">
      <w:pPr>
        <w:spacing w:after="0" w:line="345" w:lineRule="atLeast"/>
        <w:outlineLvl w:val="1"/>
        <w:rPr>
          <w:rFonts w:ascii="Helvetica" w:eastAsia="Times New Roman" w:hAnsi="Helvetica" w:cs="Helvetica"/>
          <w:b/>
          <w:bCs/>
          <w:color w:val="AB0520"/>
          <w:sz w:val="36"/>
          <w:szCs w:val="36"/>
        </w:rPr>
      </w:pPr>
      <w:r w:rsidRPr="008E00E7">
        <w:rPr>
          <w:rFonts w:ascii="Helvetica" w:eastAsia="Times New Roman" w:hAnsi="Helvetica" w:cs="Helvetica"/>
          <w:b/>
          <w:bCs/>
          <w:color w:val="AB0520"/>
          <w:sz w:val="36"/>
          <w:szCs w:val="36"/>
        </w:rPr>
        <w:fldChar w:fldCharType="begin"/>
      </w:r>
      <w:r w:rsidRPr="008E00E7">
        <w:rPr>
          <w:rFonts w:ascii="Helvetica" w:eastAsia="Times New Roman" w:hAnsi="Helvetica" w:cs="Helvetica"/>
          <w:b/>
          <w:bCs/>
          <w:color w:val="AB0520"/>
          <w:sz w:val="36"/>
          <w:szCs w:val="36"/>
        </w:rPr>
        <w:instrText xml:space="preserve"> HYPERLINK "https://ashford.instructure.com/courses/86511/users/248426" \o "Author's name" </w:instrText>
      </w:r>
      <w:r w:rsidRPr="008E00E7">
        <w:rPr>
          <w:rFonts w:ascii="Helvetica" w:eastAsia="Times New Roman" w:hAnsi="Helvetica" w:cs="Helvetica"/>
          <w:b/>
          <w:bCs/>
          <w:color w:val="AB0520"/>
          <w:sz w:val="36"/>
          <w:szCs w:val="36"/>
        </w:rPr>
        <w:fldChar w:fldCharType="separate"/>
      </w:r>
      <w:r w:rsidRPr="008E00E7">
        <w:rPr>
          <w:rFonts w:ascii="Helvetica" w:eastAsia="Times New Roman" w:hAnsi="Helvetica" w:cs="Helvetica"/>
          <w:b/>
          <w:bCs/>
          <w:color w:val="0000FF"/>
          <w:sz w:val="36"/>
          <w:szCs w:val="36"/>
          <w:u w:val="single"/>
        </w:rPr>
        <w:t>Melanie Pendleton</w:t>
      </w:r>
      <w:r w:rsidRPr="008E00E7">
        <w:rPr>
          <w:rFonts w:ascii="Helvetica" w:eastAsia="Times New Roman" w:hAnsi="Helvetica" w:cs="Helvetica"/>
          <w:b/>
          <w:bCs/>
          <w:color w:val="AB0520"/>
          <w:sz w:val="36"/>
          <w:szCs w:val="36"/>
        </w:rPr>
        <w:fldChar w:fldCharType="end"/>
      </w:r>
    </w:p>
    <w:p w14:paraId="2F44A339" w14:textId="77777777" w:rsidR="008E00E7" w:rsidRPr="008E00E7" w:rsidRDefault="008E00E7" w:rsidP="008E00E7">
      <w:pPr>
        <w:shd w:val="clear" w:color="auto" w:fill="FFFFFF"/>
        <w:spacing w:before="180" w:after="0" w:line="240" w:lineRule="auto"/>
        <w:rPr>
          <w:rFonts w:ascii="Helvetica" w:eastAsia="Times New Roman" w:hAnsi="Helvetica" w:cs="Helvetica"/>
          <w:color w:val="3D494C"/>
          <w:sz w:val="24"/>
          <w:szCs w:val="24"/>
        </w:rPr>
      </w:pPr>
      <w:r w:rsidRPr="008E00E7">
        <w:rPr>
          <w:rFonts w:ascii="Helvetica" w:eastAsia="Times New Roman" w:hAnsi="Helvetica" w:cs="Helvetica"/>
          <w:b/>
          <w:bCs/>
          <w:color w:val="3D494C"/>
          <w:sz w:val="24"/>
          <w:szCs w:val="24"/>
        </w:rPr>
        <w:t>Criterion vs norm referenced test</w:t>
      </w:r>
    </w:p>
    <w:p w14:paraId="7736813E" w14:textId="77777777" w:rsidR="008E00E7" w:rsidRPr="008E00E7" w:rsidRDefault="008E00E7" w:rsidP="008E00E7">
      <w:pPr>
        <w:shd w:val="clear" w:color="auto" w:fill="FFFFFF"/>
        <w:spacing w:before="180" w:after="180" w:line="240" w:lineRule="auto"/>
        <w:rPr>
          <w:rFonts w:ascii="Helvetica" w:eastAsia="Times New Roman" w:hAnsi="Helvetica" w:cs="Helvetica"/>
          <w:color w:val="3D494C"/>
          <w:sz w:val="24"/>
          <w:szCs w:val="24"/>
        </w:rPr>
      </w:pPr>
      <w:r w:rsidRPr="008E00E7">
        <w:rPr>
          <w:rFonts w:ascii="Helvetica" w:eastAsia="Times New Roman" w:hAnsi="Helvetica" w:cs="Helvetica"/>
          <w:color w:val="3D494C"/>
          <w:sz w:val="24"/>
          <w:szCs w:val="24"/>
        </w:rPr>
        <w:t>Criterion referenced assessments measures each individual’s performance.  The assessment is geared to learn exactly what the student knows and does not know.  Each student or individuals’ assessments are not compared to one another.  The most common example is driving tests as they are used to determine if the individual understands the rules of the road and can operate a motor vehicle safely, but the drivers scores are not compared (Hawker Brownlow Education, n.d.).</w:t>
      </w:r>
    </w:p>
    <w:p w14:paraId="010928EE" w14:textId="77777777" w:rsidR="008E00E7" w:rsidRPr="008E00E7" w:rsidRDefault="008E00E7" w:rsidP="008E00E7">
      <w:pPr>
        <w:shd w:val="clear" w:color="auto" w:fill="FFFFFF"/>
        <w:spacing w:before="180" w:after="180" w:line="240" w:lineRule="auto"/>
        <w:rPr>
          <w:rFonts w:ascii="Helvetica" w:eastAsia="Times New Roman" w:hAnsi="Helvetica" w:cs="Helvetica"/>
          <w:color w:val="3D494C"/>
          <w:sz w:val="24"/>
          <w:szCs w:val="24"/>
        </w:rPr>
      </w:pPr>
      <w:r w:rsidRPr="008E00E7">
        <w:rPr>
          <w:rFonts w:ascii="Helvetica" w:eastAsia="Times New Roman" w:hAnsi="Helvetica" w:cs="Helvetica"/>
          <w:color w:val="3D494C"/>
          <w:sz w:val="24"/>
          <w:szCs w:val="24"/>
        </w:rPr>
        <w:t xml:space="preserve">Norm-referenced assessments are used to measure a class of student’s performance and are compared to all other students within the class.  Taking a group of 3-month-old infants both male and female the most common example of norm reference assessments are the growth charts.  When my daughter was a baby at every doctor visit the doctor would give me her height and weight then tell me her weight was not even on the growth norm chart, but she was gaining in an upward motion.  On the other </w:t>
      </w:r>
      <w:proofErr w:type="gramStart"/>
      <w:r w:rsidRPr="008E00E7">
        <w:rPr>
          <w:rFonts w:ascii="Helvetica" w:eastAsia="Times New Roman" w:hAnsi="Helvetica" w:cs="Helvetica"/>
          <w:color w:val="3D494C"/>
          <w:sz w:val="24"/>
          <w:szCs w:val="24"/>
        </w:rPr>
        <w:t>hand</w:t>
      </w:r>
      <w:proofErr w:type="gramEnd"/>
      <w:r w:rsidRPr="008E00E7">
        <w:rPr>
          <w:rFonts w:ascii="Helvetica" w:eastAsia="Times New Roman" w:hAnsi="Helvetica" w:cs="Helvetica"/>
          <w:color w:val="3D494C"/>
          <w:sz w:val="24"/>
          <w:szCs w:val="24"/>
        </w:rPr>
        <w:t xml:space="preserve"> she was in the 95% on the height chart.  When my grandson was born my </w:t>
      </w:r>
      <w:proofErr w:type="gramStart"/>
      <w:r w:rsidRPr="008E00E7">
        <w:rPr>
          <w:rFonts w:ascii="Helvetica" w:eastAsia="Times New Roman" w:hAnsi="Helvetica" w:cs="Helvetica"/>
          <w:color w:val="3D494C"/>
          <w:sz w:val="24"/>
          <w:szCs w:val="24"/>
        </w:rPr>
        <w:t>daughter’s</w:t>
      </w:r>
      <w:proofErr w:type="gramEnd"/>
      <w:r w:rsidRPr="008E00E7">
        <w:rPr>
          <w:rFonts w:ascii="Helvetica" w:eastAsia="Times New Roman" w:hAnsi="Helvetica" w:cs="Helvetica"/>
          <w:color w:val="3D494C"/>
          <w:sz w:val="24"/>
          <w:szCs w:val="24"/>
        </w:rPr>
        <w:t xml:space="preserve"> doctor became my grandson’s doctor.  He used her growth charts to compare with my grandson (Hawker Brownlow Education, n.d.).</w:t>
      </w:r>
    </w:p>
    <w:p w14:paraId="5773DA3F" w14:textId="77777777" w:rsidR="008E00E7" w:rsidRPr="008E00E7" w:rsidRDefault="008E00E7" w:rsidP="008E00E7">
      <w:pPr>
        <w:shd w:val="clear" w:color="auto" w:fill="FFFFFF"/>
        <w:spacing w:before="180" w:after="0" w:line="240" w:lineRule="auto"/>
        <w:rPr>
          <w:rFonts w:ascii="Helvetica" w:eastAsia="Times New Roman" w:hAnsi="Helvetica" w:cs="Helvetica"/>
          <w:color w:val="3D494C"/>
          <w:sz w:val="24"/>
          <w:szCs w:val="24"/>
        </w:rPr>
      </w:pPr>
      <w:r w:rsidRPr="008E00E7">
        <w:rPr>
          <w:rFonts w:ascii="Helvetica" w:eastAsia="Times New Roman" w:hAnsi="Helvetica" w:cs="Helvetica"/>
          <w:b/>
          <w:bCs/>
          <w:color w:val="3D494C"/>
          <w:sz w:val="24"/>
          <w:szCs w:val="24"/>
        </w:rPr>
        <w:t>Explain the meaning of and differences between age norms, grade norms, and standard scores with respect to raw scores and distributions.</w:t>
      </w:r>
    </w:p>
    <w:p w14:paraId="12888E0A" w14:textId="77777777" w:rsidR="008E00E7" w:rsidRPr="008E00E7" w:rsidRDefault="008E00E7" w:rsidP="008E00E7">
      <w:pPr>
        <w:shd w:val="clear" w:color="auto" w:fill="FFFFFF"/>
        <w:spacing w:before="180" w:after="180" w:line="240" w:lineRule="auto"/>
        <w:rPr>
          <w:rFonts w:ascii="Helvetica" w:eastAsia="Times New Roman" w:hAnsi="Helvetica" w:cs="Helvetica"/>
          <w:color w:val="3D494C"/>
          <w:sz w:val="24"/>
          <w:szCs w:val="24"/>
        </w:rPr>
      </w:pPr>
      <w:r w:rsidRPr="008E00E7">
        <w:rPr>
          <w:rFonts w:ascii="Helvetica" w:eastAsia="Times New Roman" w:hAnsi="Helvetica" w:cs="Helvetica"/>
          <w:color w:val="3D494C"/>
          <w:sz w:val="24"/>
          <w:szCs w:val="24"/>
        </w:rPr>
        <w:t xml:space="preserve">Age norms are a grouping of participants with a research student that are groups based upon their age.  Grade norms are grouped based upon performance.  Standard scores are the number of deviations within the group above and below the average for the </w:t>
      </w:r>
      <w:proofErr w:type="gramStart"/>
      <w:r w:rsidRPr="008E00E7">
        <w:rPr>
          <w:rFonts w:ascii="Helvetica" w:eastAsia="Times New Roman" w:hAnsi="Helvetica" w:cs="Helvetica"/>
          <w:color w:val="3D494C"/>
          <w:sz w:val="24"/>
          <w:szCs w:val="24"/>
        </w:rPr>
        <w:t>group  (</w:t>
      </w:r>
      <w:proofErr w:type="gramEnd"/>
      <w:r w:rsidRPr="008E00E7">
        <w:rPr>
          <w:rFonts w:ascii="Helvetica" w:eastAsia="Times New Roman" w:hAnsi="Helvetica" w:cs="Helvetica"/>
          <w:color w:val="3D494C"/>
          <w:sz w:val="24"/>
          <w:szCs w:val="24"/>
        </w:rPr>
        <w:t>Thorndike and Thorndike-Christ, 2009).</w:t>
      </w:r>
    </w:p>
    <w:p w14:paraId="1BBDCAD6" w14:textId="77777777" w:rsidR="008E00E7" w:rsidRPr="008E00E7" w:rsidRDefault="008E00E7" w:rsidP="008E00E7">
      <w:pPr>
        <w:shd w:val="clear" w:color="auto" w:fill="FFFFFF"/>
        <w:spacing w:before="180" w:after="0" w:line="240" w:lineRule="auto"/>
        <w:rPr>
          <w:rFonts w:ascii="Helvetica" w:eastAsia="Times New Roman" w:hAnsi="Helvetica" w:cs="Helvetica"/>
          <w:color w:val="3D494C"/>
          <w:sz w:val="24"/>
          <w:szCs w:val="24"/>
        </w:rPr>
      </w:pPr>
      <w:r w:rsidRPr="008E00E7">
        <w:rPr>
          <w:rFonts w:ascii="Helvetica" w:eastAsia="Times New Roman" w:hAnsi="Helvetica" w:cs="Helvetica"/>
          <w:b/>
          <w:bCs/>
          <w:color w:val="3D494C"/>
          <w:sz w:val="24"/>
          <w:szCs w:val="24"/>
        </w:rPr>
        <w:t>Why might a test use standard scores over age or grade-based norms?</w:t>
      </w:r>
    </w:p>
    <w:p w14:paraId="5B1B25DE" w14:textId="77777777" w:rsidR="008E00E7" w:rsidRPr="008E00E7" w:rsidRDefault="008E00E7" w:rsidP="008E00E7">
      <w:pPr>
        <w:shd w:val="clear" w:color="auto" w:fill="FFFFFF"/>
        <w:spacing w:before="180" w:after="180" w:line="240" w:lineRule="auto"/>
        <w:rPr>
          <w:rFonts w:ascii="Helvetica" w:eastAsia="Times New Roman" w:hAnsi="Helvetica" w:cs="Helvetica"/>
          <w:color w:val="3D494C"/>
          <w:sz w:val="24"/>
          <w:szCs w:val="24"/>
        </w:rPr>
      </w:pPr>
      <w:r w:rsidRPr="008E00E7">
        <w:rPr>
          <w:rFonts w:ascii="Helvetica" w:eastAsia="Times New Roman" w:hAnsi="Helvetica" w:cs="Helvetica"/>
          <w:color w:val="3D494C"/>
          <w:sz w:val="24"/>
          <w:szCs w:val="24"/>
        </w:rPr>
        <w:t xml:space="preserve">Each fall I teach a tax class to individuals who want to learn about taxes, individuals who work at other tax </w:t>
      </w:r>
      <w:proofErr w:type="spellStart"/>
      <w:r w:rsidRPr="008E00E7">
        <w:rPr>
          <w:rFonts w:ascii="Helvetica" w:eastAsia="Times New Roman" w:hAnsi="Helvetica" w:cs="Helvetica"/>
          <w:color w:val="3D494C"/>
          <w:sz w:val="24"/>
          <w:szCs w:val="24"/>
        </w:rPr>
        <w:t>company’s</w:t>
      </w:r>
      <w:proofErr w:type="spellEnd"/>
      <w:r w:rsidRPr="008E00E7">
        <w:rPr>
          <w:rFonts w:ascii="Helvetica" w:eastAsia="Times New Roman" w:hAnsi="Helvetica" w:cs="Helvetica"/>
          <w:color w:val="3D494C"/>
          <w:sz w:val="24"/>
          <w:szCs w:val="24"/>
        </w:rPr>
        <w:t xml:space="preserve"> and individuals who are looking to work for us as a tax professional. At the beginning of the tax class a criterion assessment could be given at the beginning and end of the tax class.  This would be used to see how much tax knowledge each individual picked up during the class which could be used for future training classes. </w:t>
      </w:r>
    </w:p>
    <w:p w14:paraId="3B88A358" w14:textId="77777777" w:rsidR="008E00E7" w:rsidRPr="008E00E7" w:rsidRDefault="008E00E7" w:rsidP="008E00E7">
      <w:pPr>
        <w:shd w:val="clear" w:color="auto" w:fill="FFFFFF"/>
        <w:spacing w:after="0" w:line="240" w:lineRule="auto"/>
        <w:rPr>
          <w:rFonts w:ascii="Helvetica" w:eastAsia="Times New Roman" w:hAnsi="Helvetica" w:cs="Helvetica"/>
          <w:color w:val="3D494C"/>
          <w:sz w:val="24"/>
          <w:szCs w:val="24"/>
        </w:rPr>
      </w:pPr>
      <w:r w:rsidRPr="008E00E7">
        <w:rPr>
          <w:rFonts w:ascii="Helvetica" w:eastAsia="Times New Roman" w:hAnsi="Helvetica" w:cs="Helvetica"/>
          <w:color w:val="3D494C"/>
          <w:sz w:val="24"/>
          <w:szCs w:val="24"/>
        </w:rPr>
        <w:t>Hawker Brownlow Education (n.d.). Criterion-referenced vs norm-referenced assessments. </w:t>
      </w:r>
      <w:r w:rsidRPr="008E00E7">
        <w:rPr>
          <w:rFonts w:ascii="Helvetica" w:eastAsia="Times New Roman" w:hAnsi="Helvetica" w:cs="Helvetica"/>
          <w:i/>
          <w:iCs/>
          <w:color w:val="3D494C"/>
          <w:sz w:val="24"/>
          <w:szCs w:val="24"/>
        </w:rPr>
        <w:t>Brigance Special Education</w:t>
      </w:r>
      <w:r w:rsidRPr="008E00E7">
        <w:rPr>
          <w:rFonts w:ascii="Helvetica" w:eastAsia="Times New Roman" w:hAnsi="Helvetica" w:cs="Helvetica"/>
          <w:color w:val="3D494C"/>
          <w:sz w:val="24"/>
          <w:szCs w:val="24"/>
        </w:rPr>
        <w:t>. Retrieved from: </w:t>
      </w:r>
      <w:hyperlink r:id="rId4" w:tgtFrame="_blank" w:history="1">
        <w:r w:rsidRPr="008E00E7">
          <w:rPr>
            <w:rFonts w:ascii="Helvetica" w:eastAsia="Times New Roman" w:hAnsi="Helvetica" w:cs="Helvetica"/>
            <w:color w:val="0000FF"/>
            <w:sz w:val="24"/>
            <w:szCs w:val="24"/>
            <w:u w:val="single"/>
          </w:rPr>
          <w:t>http://files.hbe.com.au/flyerlibrary/Brigance/Criterion-referenced%20vs.%20Norm-referenced%20Assessment.pdf</w:t>
        </w:r>
        <w:r w:rsidRPr="008E00E7">
          <w:rPr>
            <w:rFonts w:ascii="Helvetica" w:eastAsia="Times New Roman" w:hAnsi="Helvetica" w:cs="Helvetica"/>
            <w:color w:val="0000FF"/>
            <w:sz w:val="24"/>
            <w:szCs w:val="24"/>
            <w:u w:val="single"/>
            <w:bdr w:val="none" w:sz="0" w:space="0" w:color="auto" w:frame="1"/>
          </w:rPr>
          <w:t> (Links to an external site.)</w:t>
        </w:r>
      </w:hyperlink>
    </w:p>
    <w:p w14:paraId="03EF3DD1" w14:textId="77777777" w:rsidR="008E00E7" w:rsidRPr="008E00E7" w:rsidRDefault="008E00E7" w:rsidP="008E00E7">
      <w:pPr>
        <w:shd w:val="clear" w:color="auto" w:fill="FFFFFF"/>
        <w:spacing w:before="180" w:after="0" w:line="240" w:lineRule="auto"/>
        <w:rPr>
          <w:rFonts w:ascii="Helvetica" w:eastAsia="Times New Roman" w:hAnsi="Helvetica" w:cs="Helvetica"/>
          <w:color w:val="3D494C"/>
          <w:sz w:val="24"/>
          <w:szCs w:val="24"/>
        </w:rPr>
      </w:pPr>
      <w:r w:rsidRPr="008E00E7">
        <w:rPr>
          <w:rFonts w:ascii="Helvetica" w:eastAsia="Times New Roman" w:hAnsi="Helvetica" w:cs="Helvetica"/>
          <w:color w:val="3D494C"/>
          <w:sz w:val="24"/>
          <w:szCs w:val="24"/>
        </w:rPr>
        <w:t>Thorndike, R. M. &amp; Thorndike-Christ, T. M. (2009). </w:t>
      </w:r>
      <w:r w:rsidRPr="008E00E7">
        <w:rPr>
          <w:rFonts w:ascii="Helvetica" w:eastAsia="Times New Roman" w:hAnsi="Helvetica" w:cs="Helvetica"/>
          <w:i/>
          <w:iCs/>
          <w:color w:val="3D494C"/>
          <w:sz w:val="24"/>
          <w:szCs w:val="24"/>
        </w:rPr>
        <w:t>Measurement and evaluation in psychology and education </w:t>
      </w:r>
      <w:r w:rsidRPr="008E00E7">
        <w:rPr>
          <w:rFonts w:ascii="Helvetica" w:eastAsia="Times New Roman" w:hAnsi="Helvetica" w:cs="Helvetica"/>
          <w:color w:val="3D494C"/>
          <w:sz w:val="24"/>
          <w:szCs w:val="24"/>
        </w:rPr>
        <w:t>(8th ed.). Upper Saddle River, NJ: Prentice Hall.</w:t>
      </w:r>
    </w:p>
    <w:p w14:paraId="07A88445" w14:textId="0C231C0C" w:rsidR="00822469" w:rsidRDefault="00822469"/>
    <w:p w14:paraId="126CFF1D" w14:textId="77777777" w:rsidR="008E00E7" w:rsidRPr="008E00E7" w:rsidRDefault="008E00E7" w:rsidP="008E00E7">
      <w:pPr>
        <w:spacing w:after="0" w:line="345" w:lineRule="atLeast"/>
        <w:outlineLvl w:val="1"/>
        <w:rPr>
          <w:rFonts w:ascii="Helvetica" w:eastAsia="Times New Roman" w:hAnsi="Helvetica" w:cs="Helvetica"/>
          <w:b/>
          <w:bCs/>
          <w:color w:val="AB0520"/>
          <w:sz w:val="36"/>
          <w:szCs w:val="36"/>
        </w:rPr>
      </w:pPr>
      <w:hyperlink r:id="rId5" w:tooltip="Author's name" w:history="1">
        <w:r w:rsidRPr="008E00E7">
          <w:rPr>
            <w:rFonts w:ascii="Helvetica" w:eastAsia="Times New Roman" w:hAnsi="Helvetica" w:cs="Helvetica"/>
            <w:b/>
            <w:bCs/>
            <w:color w:val="0000FF"/>
            <w:sz w:val="36"/>
            <w:szCs w:val="36"/>
            <w:u w:val="single"/>
          </w:rPr>
          <w:t>Gregory Perry</w:t>
        </w:r>
      </w:hyperlink>
    </w:p>
    <w:p w14:paraId="6D1485C3" w14:textId="77777777" w:rsidR="008E00E7" w:rsidRPr="008E00E7" w:rsidRDefault="008E00E7" w:rsidP="008E00E7">
      <w:pPr>
        <w:shd w:val="clear" w:color="auto" w:fill="FFFFFF"/>
        <w:spacing w:before="180" w:after="240" w:line="240" w:lineRule="auto"/>
        <w:rPr>
          <w:rFonts w:ascii="Helvetica" w:eastAsia="Times New Roman" w:hAnsi="Helvetica" w:cs="Helvetica"/>
          <w:color w:val="3D494C"/>
          <w:sz w:val="24"/>
          <w:szCs w:val="24"/>
        </w:rPr>
      </w:pPr>
      <w:r w:rsidRPr="008E00E7">
        <w:rPr>
          <w:rFonts w:ascii="Helvetica" w:eastAsia="Times New Roman" w:hAnsi="Helvetica" w:cs="Helvetica"/>
          <w:color w:val="3D494C"/>
          <w:sz w:val="24"/>
          <w:szCs w:val="24"/>
        </w:rPr>
        <w:lastRenderedPageBreak/>
        <w:t>Criterion-referenced evaluations confine themselves to a very narrow focus examining the content of the test and assessing the individuals as to the knowledge gained based on the content (Thorndike, 2009). Criterion-referenced tests can be thought of as having an agenda with expectations of exactly what students are expected to learn. A good example of a criterion-based test would be a history test where the expectation of the material that is to be retained and retain is based on the information taught. A norm-referenced exam focuses on the performance relative to the group and is an interval scale an example of this would be one of the tests used as college entrance guides the ACT or SAT. This can have an impact on both the high and low scores in the group also individual grades can be impacted by the total results of the group with a standard deviation to adjust the grades (Lok, 2016). Age norms are defined as what is expected or the normal expectations of that particular age group, grade norms are essentially the same definition just relating to the grade versus the age of the participant. Both age and grade norms can help to determine where an individual falls in terms of learning within their peer group as it relates to expected knowledge. Raw scores are essentially useless until converted to a standard score, which helps determine if the score is above or below the mean. Standard scores have the advantage of being converted to percentiles or ratios to offer a comparison between students of different ages or grades.</w:t>
      </w:r>
    </w:p>
    <w:p w14:paraId="475C6A33" w14:textId="77777777" w:rsidR="008E00E7" w:rsidRPr="008E00E7" w:rsidRDefault="008E00E7" w:rsidP="008E00E7">
      <w:pPr>
        <w:shd w:val="clear" w:color="auto" w:fill="FFFFFF"/>
        <w:spacing w:before="180" w:after="180" w:line="240" w:lineRule="auto"/>
        <w:rPr>
          <w:rFonts w:ascii="Helvetica" w:eastAsia="Times New Roman" w:hAnsi="Helvetica" w:cs="Helvetica"/>
          <w:color w:val="3D494C"/>
          <w:sz w:val="24"/>
          <w:szCs w:val="24"/>
        </w:rPr>
      </w:pPr>
      <w:r w:rsidRPr="008E00E7">
        <w:rPr>
          <w:rFonts w:ascii="Helvetica" w:eastAsia="Times New Roman" w:hAnsi="Helvetica" w:cs="Helvetica"/>
          <w:color w:val="3D494C"/>
          <w:sz w:val="24"/>
          <w:szCs w:val="24"/>
        </w:rPr>
        <w:t>References</w:t>
      </w:r>
    </w:p>
    <w:p w14:paraId="3F62F0C8" w14:textId="77777777" w:rsidR="008E00E7" w:rsidRPr="008E00E7" w:rsidRDefault="008E00E7" w:rsidP="008E00E7">
      <w:pPr>
        <w:shd w:val="clear" w:color="auto" w:fill="FFFFFF"/>
        <w:spacing w:after="0" w:line="240" w:lineRule="auto"/>
        <w:rPr>
          <w:rFonts w:ascii="Helvetica" w:eastAsia="Times New Roman" w:hAnsi="Helvetica" w:cs="Helvetica"/>
          <w:color w:val="3D494C"/>
          <w:sz w:val="24"/>
          <w:szCs w:val="24"/>
        </w:rPr>
      </w:pPr>
      <w:r w:rsidRPr="008E00E7">
        <w:rPr>
          <w:rFonts w:ascii="Helvetica" w:eastAsia="Times New Roman" w:hAnsi="Helvetica" w:cs="Helvetica"/>
          <w:color w:val="3D494C"/>
          <w:sz w:val="24"/>
          <w:szCs w:val="24"/>
        </w:rPr>
        <w:t>Lok, B., McNaught, C., &amp; Young, K. (2016). Criterion-referenced and norm-referenced assessments: compatibility and complementarity. </w:t>
      </w:r>
      <w:r w:rsidRPr="008E00E7">
        <w:rPr>
          <w:rFonts w:ascii="Helvetica" w:eastAsia="Times New Roman" w:hAnsi="Helvetica" w:cs="Helvetica"/>
          <w:i/>
          <w:iCs/>
          <w:color w:val="3D494C"/>
          <w:sz w:val="24"/>
          <w:szCs w:val="24"/>
        </w:rPr>
        <w:t>Assessment &amp; Evaluation in Higher Education</w:t>
      </w:r>
      <w:r w:rsidRPr="008E00E7">
        <w:rPr>
          <w:rFonts w:ascii="Helvetica" w:eastAsia="Times New Roman" w:hAnsi="Helvetica" w:cs="Helvetica"/>
          <w:color w:val="3D494C"/>
          <w:sz w:val="24"/>
          <w:szCs w:val="24"/>
        </w:rPr>
        <w:t>, </w:t>
      </w:r>
      <w:r w:rsidRPr="008E00E7">
        <w:rPr>
          <w:rFonts w:ascii="Helvetica" w:eastAsia="Times New Roman" w:hAnsi="Helvetica" w:cs="Helvetica"/>
          <w:i/>
          <w:iCs/>
          <w:color w:val="3D494C"/>
          <w:sz w:val="24"/>
          <w:szCs w:val="24"/>
        </w:rPr>
        <w:t>41</w:t>
      </w:r>
      <w:r w:rsidRPr="008E00E7">
        <w:rPr>
          <w:rFonts w:ascii="Helvetica" w:eastAsia="Times New Roman" w:hAnsi="Helvetica" w:cs="Helvetica"/>
          <w:color w:val="3D494C"/>
          <w:sz w:val="24"/>
          <w:szCs w:val="24"/>
        </w:rPr>
        <w:t>(3), 450–465. </w:t>
      </w:r>
      <w:hyperlink r:id="rId6" w:tgtFrame="_blank" w:history="1">
        <w:r w:rsidRPr="008E00E7">
          <w:rPr>
            <w:rFonts w:ascii="Helvetica" w:eastAsia="Times New Roman" w:hAnsi="Helvetica" w:cs="Helvetica"/>
            <w:color w:val="0000FF"/>
            <w:sz w:val="24"/>
            <w:szCs w:val="24"/>
            <w:u w:val="single"/>
          </w:rPr>
          <w:t>https://doi-org.proxy-library.ashford.edu/10.1080/02602938.2015.1022136</w:t>
        </w:r>
        <w:r w:rsidRPr="008E00E7">
          <w:rPr>
            <w:rFonts w:ascii="Helvetica" w:eastAsia="Times New Roman" w:hAnsi="Helvetica" w:cs="Helvetica"/>
            <w:color w:val="0000FF"/>
            <w:sz w:val="24"/>
            <w:szCs w:val="24"/>
            <w:u w:val="single"/>
            <w:bdr w:val="none" w:sz="0" w:space="0" w:color="auto" w:frame="1"/>
          </w:rPr>
          <w:t> (Links to an external site.)</w:t>
        </w:r>
      </w:hyperlink>
    </w:p>
    <w:p w14:paraId="51BC02B8" w14:textId="77777777" w:rsidR="008E00E7" w:rsidRPr="008E00E7" w:rsidRDefault="008E00E7" w:rsidP="008E00E7">
      <w:pPr>
        <w:shd w:val="clear" w:color="auto" w:fill="FFFFFF"/>
        <w:spacing w:before="180" w:after="0" w:line="240" w:lineRule="auto"/>
        <w:rPr>
          <w:rFonts w:ascii="Helvetica" w:eastAsia="Times New Roman" w:hAnsi="Helvetica" w:cs="Helvetica"/>
          <w:color w:val="3D494C"/>
          <w:sz w:val="24"/>
          <w:szCs w:val="24"/>
        </w:rPr>
      </w:pPr>
      <w:r w:rsidRPr="008E00E7">
        <w:rPr>
          <w:rFonts w:ascii="Helvetica" w:eastAsia="Times New Roman" w:hAnsi="Helvetica" w:cs="Helvetica"/>
          <w:color w:val="3D494C"/>
          <w:sz w:val="24"/>
          <w:szCs w:val="24"/>
        </w:rPr>
        <w:t> Thorndike, R. M., &amp; Thorndike-Christ, T. M. (2009). </w:t>
      </w:r>
      <w:hyperlink r:id="rId7" w:history="1">
        <w:r w:rsidRPr="008E00E7">
          <w:rPr>
            <w:rFonts w:ascii="Helvetica" w:eastAsia="Times New Roman" w:hAnsi="Helvetica" w:cs="Helvetica"/>
            <w:i/>
            <w:iCs/>
            <w:color w:val="0000FF"/>
            <w:sz w:val="24"/>
            <w:szCs w:val="24"/>
            <w:u w:val="single"/>
          </w:rPr>
          <w:t>Measurement and evaluation in psychology and education</w:t>
        </w:r>
      </w:hyperlink>
      <w:r w:rsidRPr="008E00E7">
        <w:rPr>
          <w:rFonts w:ascii="Helvetica" w:eastAsia="Times New Roman" w:hAnsi="Helvetica" w:cs="Helvetica"/>
          <w:color w:val="3D494C"/>
          <w:sz w:val="24"/>
          <w:szCs w:val="24"/>
        </w:rPr>
        <w:t> (8th ed.). Upper Saddle River, NJ: Prentice-Hall. </w:t>
      </w:r>
    </w:p>
    <w:p w14:paraId="34C1336C" w14:textId="77777777" w:rsidR="008E00E7" w:rsidRPr="008E00E7" w:rsidRDefault="008E00E7" w:rsidP="008E00E7">
      <w:pPr>
        <w:shd w:val="clear" w:color="auto" w:fill="FFFFFF"/>
        <w:spacing w:before="180" w:after="0" w:line="240" w:lineRule="auto"/>
        <w:rPr>
          <w:rFonts w:ascii="Helvetica" w:eastAsia="Times New Roman" w:hAnsi="Helvetica" w:cs="Helvetica"/>
          <w:color w:val="3D494C"/>
          <w:sz w:val="24"/>
          <w:szCs w:val="24"/>
        </w:rPr>
      </w:pPr>
      <w:r w:rsidRPr="008E00E7">
        <w:rPr>
          <w:rFonts w:ascii="Helvetica" w:eastAsia="Times New Roman" w:hAnsi="Helvetica" w:cs="Helvetica"/>
          <w:color w:val="3D494C"/>
          <w:sz w:val="24"/>
          <w:szCs w:val="24"/>
        </w:rPr>
        <w:t> </w:t>
      </w:r>
    </w:p>
    <w:p w14:paraId="39F7B6C6" w14:textId="77777777" w:rsidR="008E00E7" w:rsidRDefault="008E00E7"/>
    <w:sectPr w:rsidR="008E0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E7"/>
    <w:rsid w:val="00822469"/>
    <w:rsid w:val="008E0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1CDA"/>
  <w15:chartTrackingRefBased/>
  <w15:docId w15:val="{7EA81D40-DDC1-4024-A00C-D4350860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3771">
      <w:bodyDiv w:val="1"/>
      <w:marLeft w:val="0"/>
      <w:marRight w:val="0"/>
      <w:marTop w:val="0"/>
      <w:marBottom w:val="0"/>
      <w:divBdr>
        <w:top w:val="none" w:sz="0" w:space="0" w:color="auto"/>
        <w:left w:val="none" w:sz="0" w:space="0" w:color="auto"/>
        <w:bottom w:val="none" w:sz="0" w:space="0" w:color="auto"/>
        <w:right w:val="none" w:sz="0" w:space="0" w:color="auto"/>
      </w:divBdr>
      <w:divsChild>
        <w:div w:id="611589379">
          <w:marLeft w:val="0"/>
          <w:marRight w:val="0"/>
          <w:marTop w:val="0"/>
          <w:marBottom w:val="0"/>
          <w:divBdr>
            <w:top w:val="none" w:sz="0" w:space="0" w:color="auto"/>
            <w:left w:val="none" w:sz="0" w:space="0" w:color="auto"/>
            <w:bottom w:val="none" w:sz="0" w:space="0" w:color="auto"/>
            <w:right w:val="none" w:sz="0" w:space="0" w:color="auto"/>
          </w:divBdr>
          <w:divsChild>
            <w:div w:id="1677272471">
              <w:marLeft w:val="0"/>
              <w:marRight w:val="0"/>
              <w:marTop w:val="0"/>
              <w:marBottom w:val="0"/>
              <w:divBdr>
                <w:top w:val="none" w:sz="0" w:space="0" w:color="auto"/>
                <w:left w:val="none" w:sz="0" w:space="0" w:color="auto"/>
                <w:bottom w:val="none" w:sz="0" w:space="0" w:color="auto"/>
                <w:right w:val="none" w:sz="0" w:space="0" w:color="auto"/>
              </w:divBdr>
              <w:divsChild>
                <w:div w:id="1529222678">
                  <w:marLeft w:val="0"/>
                  <w:marRight w:val="0"/>
                  <w:marTop w:val="0"/>
                  <w:marBottom w:val="0"/>
                  <w:divBdr>
                    <w:top w:val="none" w:sz="0" w:space="0" w:color="auto"/>
                    <w:left w:val="none" w:sz="0" w:space="0" w:color="auto"/>
                    <w:bottom w:val="none" w:sz="0" w:space="0" w:color="auto"/>
                    <w:right w:val="none" w:sz="0" w:space="0" w:color="auto"/>
                  </w:divBdr>
                </w:div>
              </w:divsChild>
            </w:div>
            <w:div w:id="523328196">
              <w:marLeft w:val="0"/>
              <w:marRight w:val="0"/>
              <w:marTop w:val="0"/>
              <w:marBottom w:val="0"/>
              <w:divBdr>
                <w:top w:val="none" w:sz="0" w:space="0" w:color="auto"/>
                <w:left w:val="none" w:sz="0" w:space="0" w:color="auto"/>
                <w:bottom w:val="none" w:sz="0" w:space="0" w:color="auto"/>
                <w:right w:val="none" w:sz="0" w:space="0" w:color="auto"/>
              </w:divBdr>
            </w:div>
          </w:divsChild>
        </w:div>
        <w:div w:id="78524156">
          <w:marLeft w:val="0"/>
          <w:marRight w:val="0"/>
          <w:marTop w:val="0"/>
          <w:marBottom w:val="0"/>
          <w:divBdr>
            <w:top w:val="none" w:sz="0" w:space="0" w:color="auto"/>
            <w:left w:val="none" w:sz="0" w:space="0" w:color="auto"/>
            <w:bottom w:val="none" w:sz="0" w:space="0" w:color="auto"/>
            <w:right w:val="none" w:sz="0" w:space="0" w:color="auto"/>
          </w:divBdr>
        </w:div>
      </w:divsChild>
    </w:div>
    <w:div w:id="1092774673">
      <w:bodyDiv w:val="1"/>
      <w:marLeft w:val="0"/>
      <w:marRight w:val="0"/>
      <w:marTop w:val="0"/>
      <w:marBottom w:val="0"/>
      <w:divBdr>
        <w:top w:val="none" w:sz="0" w:space="0" w:color="auto"/>
        <w:left w:val="none" w:sz="0" w:space="0" w:color="auto"/>
        <w:bottom w:val="none" w:sz="0" w:space="0" w:color="auto"/>
        <w:right w:val="none" w:sz="0" w:space="0" w:color="auto"/>
      </w:divBdr>
      <w:divsChild>
        <w:div w:id="574052197">
          <w:marLeft w:val="0"/>
          <w:marRight w:val="0"/>
          <w:marTop w:val="0"/>
          <w:marBottom w:val="0"/>
          <w:divBdr>
            <w:top w:val="none" w:sz="0" w:space="0" w:color="auto"/>
            <w:left w:val="none" w:sz="0" w:space="0" w:color="auto"/>
            <w:bottom w:val="none" w:sz="0" w:space="0" w:color="auto"/>
            <w:right w:val="none" w:sz="0" w:space="0" w:color="auto"/>
          </w:divBdr>
          <w:divsChild>
            <w:div w:id="1139147320">
              <w:marLeft w:val="0"/>
              <w:marRight w:val="0"/>
              <w:marTop w:val="0"/>
              <w:marBottom w:val="0"/>
              <w:divBdr>
                <w:top w:val="none" w:sz="0" w:space="0" w:color="auto"/>
                <w:left w:val="none" w:sz="0" w:space="0" w:color="auto"/>
                <w:bottom w:val="none" w:sz="0" w:space="0" w:color="auto"/>
                <w:right w:val="none" w:sz="0" w:space="0" w:color="auto"/>
              </w:divBdr>
              <w:divsChild>
                <w:div w:id="19552040">
                  <w:marLeft w:val="0"/>
                  <w:marRight w:val="0"/>
                  <w:marTop w:val="0"/>
                  <w:marBottom w:val="0"/>
                  <w:divBdr>
                    <w:top w:val="none" w:sz="0" w:space="0" w:color="auto"/>
                    <w:left w:val="none" w:sz="0" w:space="0" w:color="auto"/>
                    <w:bottom w:val="none" w:sz="0" w:space="0" w:color="auto"/>
                    <w:right w:val="none" w:sz="0" w:space="0" w:color="auto"/>
                  </w:divBdr>
                </w:div>
              </w:divsChild>
            </w:div>
            <w:div w:id="350035784">
              <w:marLeft w:val="0"/>
              <w:marRight w:val="0"/>
              <w:marTop w:val="0"/>
              <w:marBottom w:val="0"/>
              <w:divBdr>
                <w:top w:val="none" w:sz="0" w:space="0" w:color="auto"/>
                <w:left w:val="none" w:sz="0" w:space="0" w:color="auto"/>
                <w:bottom w:val="none" w:sz="0" w:space="0" w:color="auto"/>
                <w:right w:val="none" w:sz="0" w:space="0" w:color="auto"/>
              </w:divBdr>
            </w:div>
          </w:divsChild>
        </w:div>
        <w:div w:id="1668097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shford.instructure.com/courses/86511/external_tools/retrieve?display=borderless&amp;;url=https%3A%2F%2Fcontent.ashford.edu%2Flti%3Fbookcode%3DTHORNDIKE.8496.1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proxy-library.ashford.edu/10.1080/02602938.2015.1022136" TargetMode="External"/><Relationship Id="rId5" Type="http://schemas.openxmlformats.org/officeDocument/2006/relationships/hyperlink" Target="https://ashford.instructure.com/courses/86511/users/230955" TargetMode="External"/><Relationship Id="rId4" Type="http://schemas.openxmlformats.org/officeDocument/2006/relationships/hyperlink" Target="http://files.hbe.com.au/flyerlibrary/Brigance/Criterion-referenced%20vs.%20Norm-referenced%20Assessment.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2021-06-20T19:55:00Z</dcterms:created>
  <dcterms:modified xsi:type="dcterms:W3CDTF">2021-06-20T19:57:00Z</dcterms:modified>
</cp:coreProperties>
</file>