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4B18B" w14:textId="77777777" w:rsid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ERICA SAMPSON</w:t>
      </w:r>
    </w:p>
    <w:p w14:paraId="3A96363F" w14:textId="1E19C3AE"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One of the advantages of the scale is that it allows you to measure a topic's current status. You can understand the data while comparing it to others. Determining the purpose should be based on the objectives of the research (Diem, 2002). The aim is to determine the attitudes towards teacher's state-wide educational assessments.  Also, with this scale, the researcher learns to what degree they feel about it. This could also be seen as a disadvantage because the teachers may choose not to answer honestly. Teachers may decide to rate honestly because they want to share their opinions. They understand the nature of the questions and may want to be heard through them. Sharing their perspective would help towards that. Also, if a teacher had expectations of the results, they may choose to answer honestly. Children are different, and so are the information and process in which they learn. There could be socioeconomic status or other matters that interfere with how children retain information. Their input could help them want to be involved since their results went towards a bigger picture—their connection to the test. </w:t>
      </w:r>
    </w:p>
    <w:p w14:paraId="2FABD6BF"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6E5A1847"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xml:space="preserve">An attitude rating scale covers general statements highlighting different views on the matter (Thorndike et al., 2009). When I reflect upon my own scale, I feel I selected the right questions, but I still won't know if a person is answering honestly. I could offer the same test again another time and compare the results for reliability and check to see if anyone's opinions have altered. </w:t>
      </w:r>
      <w:proofErr w:type="gramStart"/>
      <w:r w:rsidRPr="00582744">
        <w:rPr>
          <w:rFonts w:ascii="Helvetica" w:eastAsia="Times New Roman" w:hAnsi="Helvetica" w:cs="Helvetica"/>
          <w:color w:val="3D494C"/>
          <w:sz w:val="24"/>
          <w:szCs w:val="24"/>
        </w:rPr>
        <w:t>So</w:t>
      </w:r>
      <w:proofErr w:type="gramEnd"/>
      <w:r w:rsidRPr="00582744">
        <w:rPr>
          <w:rFonts w:ascii="Helvetica" w:eastAsia="Times New Roman" w:hAnsi="Helvetica" w:cs="Helvetica"/>
          <w:color w:val="3D494C"/>
          <w:sz w:val="24"/>
          <w:szCs w:val="24"/>
        </w:rPr>
        <w:t xml:space="preserve"> there are similar weaknesses and strengths to mine and the other one. The research questions match the research objectives. Also, since I'm not interested in gaining any knowledge of the topic, I have avoided asking factual questions. Lastly, my questions also considered the range of the construct of interest. </w:t>
      </w:r>
    </w:p>
    <w:p w14:paraId="11625328"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041CE6A6"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1. State-wide assessments have been used to improve teaching and learning?</w:t>
      </w:r>
    </w:p>
    <w:p w14:paraId="63C91BD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353EB18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412E0D8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1ECA647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557DE4D4"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59C0758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2. State-wide assessments have done a great job with tracking student's progress over time?</w:t>
      </w:r>
    </w:p>
    <w:p w14:paraId="476A8893"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5D064DE3"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55E6D92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142679C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231A866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3. State-wide assessments have provided measures for basic learning skills?</w:t>
      </w:r>
    </w:p>
    <w:p w14:paraId="4BA23531"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28DF7F9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212F18E1"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26DA32BA"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1BD8CBE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4. State-wide assessments are useful to measure a student's intelligence?</w:t>
      </w:r>
    </w:p>
    <w:p w14:paraId="67126D6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lastRenderedPageBreak/>
        <w:t>a. Very satisfied</w:t>
      </w:r>
    </w:p>
    <w:p w14:paraId="48FCBDA6"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230454F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783D0C8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5917889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5. State-wide assessments are fair and equal to all students?</w:t>
      </w:r>
    </w:p>
    <w:p w14:paraId="76DFDCFF"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052E222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55E1851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47BBA968"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055EE3C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References</w:t>
      </w:r>
    </w:p>
    <w:p w14:paraId="24544F50"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51736EA0"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Diem, K. G. (2002). </w:t>
      </w:r>
      <w:hyperlink r:id="rId4" w:tgtFrame="_blank" w:tooltip="A step-by-step guide to developing effective questionnaires and survey procedures for program evaluation &amp; research" w:history="1">
        <w:r w:rsidRPr="00582744">
          <w:rPr>
            <w:rFonts w:ascii="Helvetica" w:eastAsia="Times New Roman" w:hAnsi="Helvetica" w:cs="Helvetica"/>
            <w:color w:val="0000FF"/>
            <w:sz w:val="24"/>
            <w:szCs w:val="24"/>
            <w:u w:val="single"/>
          </w:rPr>
          <w:t>A step-by-step guide to developing effective questionnaires and survey procedures for program evaluation &amp; research (Links to an external site.)</w:t>
        </w:r>
        <w:r w:rsidRPr="00582744">
          <w:rPr>
            <w:rFonts w:ascii="Helvetica" w:eastAsia="Times New Roman" w:hAnsi="Helvetica" w:cs="Helvetica"/>
            <w:color w:val="0000FF"/>
            <w:sz w:val="24"/>
            <w:szCs w:val="24"/>
            <w:u w:val="single"/>
            <w:bdr w:val="none" w:sz="0" w:space="0" w:color="auto" w:frame="1"/>
          </w:rPr>
          <w:t> (Links to an external site.)</w:t>
        </w:r>
      </w:hyperlink>
      <w:r w:rsidRPr="00582744">
        <w:rPr>
          <w:rFonts w:ascii="Helvetica" w:eastAsia="Times New Roman" w:hAnsi="Helvetica" w:cs="Helvetica"/>
          <w:color w:val="3D494C"/>
          <w:sz w:val="24"/>
          <w:szCs w:val="24"/>
        </w:rPr>
        <w:t>. Retrieved from https://njaes.rutgers.edu/fs995/</w:t>
      </w:r>
    </w:p>
    <w:p w14:paraId="5467E3AA"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Thorndike, R. M., &amp; Thorndike-Christ, T. M. (2009). </w:t>
      </w:r>
      <w:hyperlink r:id="rId5" w:tgtFrame="_blank" w:history="1">
        <w:r w:rsidRPr="00582744">
          <w:rPr>
            <w:rFonts w:ascii="Helvetica" w:eastAsia="Times New Roman" w:hAnsi="Helvetica" w:cs="Helvetica"/>
            <w:i/>
            <w:iCs/>
            <w:color w:val="0000FF"/>
            <w:sz w:val="24"/>
            <w:szCs w:val="24"/>
            <w:u w:val="single"/>
          </w:rPr>
          <w:t>Measurement and evaluation in psychology and education</w:t>
        </w:r>
      </w:hyperlink>
      <w:r w:rsidRPr="00582744">
        <w:rPr>
          <w:rFonts w:ascii="Helvetica" w:eastAsia="Times New Roman" w:hAnsi="Helvetica" w:cs="Helvetica"/>
          <w:color w:val="3D494C"/>
          <w:sz w:val="24"/>
          <w:szCs w:val="24"/>
        </w:rPr>
        <w:t> (8th ed.). Upper Saddle River, NJ: Prentice Hall.</w:t>
      </w:r>
    </w:p>
    <w:p w14:paraId="3181EBEA"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4"/>
    <w:rsid w:val="00582744"/>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9A28"/>
  <w15:chartTrackingRefBased/>
  <w15:docId w15:val="{F794BCCC-D49B-482F-BA3F-A3F1B5B5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891849">
      <w:bodyDiv w:val="1"/>
      <w:marLeft w:val="0"/>
      <w:marRight w:val="0"/>
      <w:marTop w:val="0"/>
      <w:marBottom w:val="0"/>
      <w:divBdr>
        <w:top w:val="none" w:sz="0" w:space="0" w:color="auto"/>
        <w:left w:val="none" w:sz="0" w:space="0" w:color="auto"/>
        <w:bottom w:val="none" w:sz="0" w:space="0" w:color="auto"/>
        <w:right w:val="none" w:sz="0" w:space="0" w:color="auto"/>
      </w:divBdr>
      <w:divsChild>
        <w:div w:id="301161583">
          <w:marLeft w:val="0"/>
          <w:marRight w:val="0"/>
          <w:marTop w:val="0"/>
          <w:marBottom w:val="0"/>
          <w:divBdr>
            <w:top w:val="none" w:sz="0" w:space="0" w:color="auto"/>
            <w:left w:val="none" w:sz="0" w:space="0" w:color="auto"/>
            <w:bottom w:val="none" w:sz="0" w:space="0" w:color="auto"/>
            <w:right w:val="none" w:sz="0" w:space="0" w:color="auto"/>
          </w:divBdr>
          <w:divsChild>
            <w:div w:id="764036110">
              <w:marLeft w:val="0"/>
              <w:marRight w:val="0"/>
              <w:marTop w:val="0"/>
              <w:marBottom w:val="0"/>
              <w:divBdr>
                <w:top w:val="none" w:sz="0" w:space="0" w:color="auto"/>
                <w:left w:val="none" w:sz="0" w:space="0" w:color="auto"/>
                <w:bottom w:val="none" w:sz="0" w:space="0" w:color="auto"/>
                <w:right w:val="none" w:sz="0" w:space="0" w:color="auto"/>
              </w:divBdr>
            </w:div>
            <w:div w:id="2033412334">
              <w:marLeft w:val="0"/>
              <w:marRight w:val="0"/>
              <w:marTop w:val="0"/>
              <w:marBottom w:val="0"/>
              <w:divBdr>
                <w:top w:val="none" w:sz="0" w:space="0" w:color="auto"/>
                <w:left w:val="none" w:sz="0" w:space="0" w:color="auto"/>
                <w:bottom w:val="none" w:sz="0" w:space="0" w:color="auto"/>
                <w:right w:val="none" w:sz="0" w:space="0" w:color="auto"/>
              </w:divBdr>
            </w:div>
            <w:div w:id="136608004">
              <w:marLeft w:val="0"/>
              <w:marRight w:val="0"/>
              <w:marTop w:val="0"/>
              <w:marBottom w:val="0"/>
              <w:divBdr>
                <w:top w:val="none" w:sz="0" w:space="0" w:color="auto"/>
                <w:left w:val="none" w:sz="0" w:space="0" w:color="auto"/>
                <w:bottom w:val="none" w:sz="0" w:space="0" w:color="auto"/>
                <w:right w:val="none" w:sz="0" w:space="0" w:color="auto"/>
              </w:divBdr>
            </w:div>
            <w:div w:id="1080254520">
              <w:marLeft w:val="0"/>
              <w:marRight w:val="0"/>
              <w:marTop w:val="0"/>
              <w:marBottom w:val="0"/>
              <w:divBdr>
                <w:top w:val="none" w:sz="0" w:space="0" w:color="auto"/>
                <w:left w:val="none" w:sz="0" w:space="0" w:color="auto"/>
                <w:bottom w:val="none" w:sz="0" w:space="0" w:color="auto"/>
                <w:right w:val="none" w:sz="0" w:space="0" w:color="auto"/>
              </w:divBdr>
            </w:div>
            <w:div w:id="1509566280">
              <w:marLeft w:val="0"/>
              <w:marRight w:val="0"/>
              <w:marTop w:val="0"/>
              <w:marBottom w:val="0"/>
              <w:divBdr>
                <w:top w:val="none" w:sz="0" w:space="0" w:color="auto"/>
                <w:left w:val="none" w:sz="0" w:space="0" w:color="auto"/>
                <w:bottom w:val="none" w:sz="0" w:space="0" w:color="auto"/>
                <w:right w:val="none" w:sz="0" w:space="0" w:color="auto"/>
              </w:divBdr>
            </w:div>
          </w:divsChild>
        </w:div>
        <w:div w:id="153491103">
          <w:marLeft w:val="0"/>
          <w:marRight w:val="0"/>
          <w:marTop w:val="0"/>
          <w:marBottom w:val="0"/>
          <w:divBdr>
            <w:top w:val="none" w:sz="0" w:space="0" w:color="auto"/>
            <w:left w:val="none" w:sz="0" w:space="0" w:color="auto"/>
            <w:bottom w:val="none" w:sz="0" w:space="0" w:color="auto"/>
            <w:right w:val="none" w:sz="0" w:space="0" w:color="auto"/>
          </w:divBdr>
          <w:divsChild>
            <w:div w:id="726034520">
              <w:marLeft w:val="0"/>
              <w:marRight w:val="0"/>
              <w:marTop w:val="0"/>
              <w:marBottom w:val="0"/>
              <w:divBdr>
                <w:top w:val="none" w:sz="0" w:space="0" w:color="auto"/>
                <w:left w:val="none" w:sz="0" w:space="0" w:color="auto"/>
                <w:bottom w:val="none" w:sz="0" w:space="0" w:color="auto"/>
                <w:right w:val="none" w:sz="0" w:space="0" w:color="auto"/>
              </w:divBdr>
            </w:div>
            <w:div w:id="612395779">
              <w:marLeft w:val="0"/>
              <w:marRight w:val="0"/>
              <w:marTop w:val="0"/>
              <w:marBottom w:val="0"/>
              <w:divBdr>
                <w:top w:val="none" w:sz="0" w:space="0" w:color="auto"/>
                <w:left w:val="none" w:sz="0" w:space="0" w:color="auto"/>
                <w:bottom w:val="none" w:sz="0" w:space="0" w:color="auto"/>
                <w:right w:val="none" w:sz="0" w:space="0" w:color="auto"/>
              </w:divBdr>
            </w:div>
            <w:div w:id="200477666">
              <w:marLeft w:val="0"/>
              <w:marRight w:val="0"/>
              <w:marTop w:val="0"/>
              <w:marBottom w:val="0"/>
              <w:divBdr>
                <w:top w:val="none" w:sz="0" w:space="0" w:color="auto"/>
                <w:left w:val="none" w:sz="0" w:space="0" w:color="auto"/>
                <w:bottom w:val="none" w:sz="0" w:space="0" w:color="auto"/>
                <w:right w:val="none" w:sz="0" w:space="0" w:color="auto"/>
              </w:divBdr>
            </w:div>
            <w:div w:id="1837456519">
              <w:marLeft w:val="0"/>
              <w:marRight w:val="0"/>
              <w:marTop w:val="0"/>
              <w:marBottom w:val="0"/>
              <w:divBdr>
                <w:top w:val="none" w:sz="0" w:space="0" w:color="auto"/>
                <w:left w:val="none" w:sz="0" w:space="0" w:color="auto"/>
                <w:bottom w:val="none" w:sz="0" w:space="0" w:color="auto"/>
                <w:right w:val="none" w:sz="0" w:space="0" w:color="auto"/>
              </w:divBdr>
            </w:div>
            <w:div w:id="1289315222">
              <w:marLeft w:val="0"/>
              <w:marRight w:val="0"/>
              <w:marTop w:val="0"/>
              <w:marBottom w:val="0"/>
              <w:divBdr>
                <w:top w:val="none" w:sz="0" w:space="0" w:color="auto"/>
                <w:left w:val="none" w:sz="0" w:space="0" w:color="auto"/>
                <w:bottom w:val="none" w:sz="0" w:space="0" w:color="auto"/>
                <w:right w:val="none" w:sz="0" w:space="0" w:color="auto"/>
              </w:divBdr>
            </w:div>
          </w:divsChild>
        </w:div>
        <w:div w:id="1491094119">
          <w:marLeft w:val="0"/>
          <w:marRight w:val="0"/>
          <w:marTop w:val="0"/>
          <w:marBottom w:val="0"/>
          <w:divBdr>
            <w:top w:val="none" w:sz="0" w:space="0" w:color="auto"/>
            <w:left w:val="none" w:sz="0" w:space="0" w:color="auto"/>
            <w:bottom w:val="none" w:sz="0" w:space="0" w:color="auto"/>
            <w:right w:val="none" w:sz="0" w:space="0" w:color="auto"/>
          </w:divBdr>
          <w:divsChild>
            <w:div w:id="1689332385">
              <w:marLeft w:val="0"/>
              <w:marRight w:val="0"/>
              <w:marTop w:val="0"/>
              <w:marBottom w:val="0"/>
              <w:divBdr>
                <w:top w:val="none" w:sz="0" w:space="0" w:color="auto"/>
                <w:left w:val="none" w:sz="0" w:space="0" w:color="auto"/>
                <w:bottom w:val="none" w:sz="0" w:space="0" w:color="auto"/>
                <w:right w:val="none" w:sz="0" w:space="0" w:color="auto"/>
              </w:divBdr>
            </w:div>
            <w:div w:id="1983994803">
              <w:marLeft w:val="0"/>
              <w:marRight w:val="0"/>
              <w:marTop w:val="0"/>
              <w:marBottom w:val="0"/>
              <w:divBdr>
                <w:top w:val="none" w:sz="0" w:space="0" w:color="auto"/>
                <w:left w:val="none" w:sz="0" w:space="0" w:color="auto"/>
                <w:bottom w:val="none" w:sz="0" w:space="0" w:color="auto"/>
                <w:right w:val="none" w:sz="0" w:space="0" w:color="auto"/>
              </w:divBdr>
            </w:div>
            <w:div w:id="2052026837">
              <w:marLeft w:val="0"/>
              <w:marRight w:val="0"/>
              <w:marTop w:val="0"/>
              <w:marBottom w:val="0"/>
              <w:divBdr>
                <w:top w:val="none" w:sz="0" w:space="0" w:color="auto"/>
                <w:left w:val="none" w:sz="0" w:space="0" w:color="auto"/>
                <w:bottom w:val="none" w:sz="0" w:space="0" w:color="auto"/>
                <w:right w:val="none" w:sz="0" w:space="0" w:color="auto"/>
              </w:divBdr>
            </w:div>
            <w:div w:id="821656531">
              <w:marLeft w:val="0"/>
              <w:marRight w:val="0"/>
              <w:marTop w:val="0"/>
              <w:marBottom w:val="0"/>
              <w:divBdr>
                <w:top w:val="none" w:sz="0" w:space="0" w:color="auto"/>
                <w:left w:val="none" w:sz="0" w:space="0" w:color="auto"/>
                <w:bottom w:val="none" w:sz="0" w:space="0" w:color="auto"/>
                <w:right w:val="none" w:sz="0" w:space="0" w:color="auto"/>
              </w:divBdr>
            </w:div>
            <w:div w:id="2050447295">
              <w:marLeft w:val="0"/>
              <w:marRight w:val="0"/>
              <w:marTop w:val="0"/>
              <w:marBottom w:val="0"/>
              <w:divBdr>
                <w:top w:val="none" w:sz="0" w:space="0" w:color="auto"/>
                <w:left w:val="none" w:sz="0" w:space="0" w:color="auto"/>
                <w:bottom w:val="none" w:sz="0" w:space="0" w:color="auto"/>
                <w:right w:val="none" w:sz="0" w:space="0" w:color="auto"/>
              </w:divBdr>
            </w:div>
          </w:divsChild>
        </w:div>
        <w:div w:id="1937975654">
          <w:marLeft w:val="0"/>
          <w:marRight w:val="0"/>
          <w:marTop w:val="0"/>
          <w:marBottom w:val="0"/>
          <w:divBdr>
            <w:top w:val="none" w:sz="0" w:space="0" w:color="auto"/>
            <w:left w:val="none" w:sz="0" w:space="0" w:color="auto"/>
            <w:bottom w:val="none" w:sz="0" w:space="0" w:color="auto"/>
            <w:right w:val="none" w:sz="0" w:space="0" w:color="auto"/>
          </w:divBdr>
          <w:divsChild>
            <w:div w:id="12345903">
              <w:marLeft w:val="0"/>
              <w:marRight w:val="0"/>
              <w:marTop w:val="0"/>
              <w:marBottom w:val="0"/>
              <w:divBdr>
                <w:top w:val="none" w:sz="0" w:space="0" w:color="auto"/>
                <w:left w:val="none" w:sz="0" w:space="0" w:color="auto"/>
                <w:bottom w:val="none" w:sz="0" w:space="0" w:color="auto"/>
                <w:right w:val="none" w:sz="0" w:space="0" w:color="auto"/>
              </w:divBdr>
            </w:div>
            <w:div w:id="1199270544">
              <w:marLeft w:val="0"/>
              <w:marRight w:val="0"/>
              <w:marTop w:val="0"/>
              <w:marBottom w:val="0"/>
              <w:divBdr>
                <w:top w:val="none" w:sz="0" w:space="0" w:color="auto"/>
                <w:left w:val="none" w:sz="0" w:space="0" w:color="auto"/>
                <w:bottom w:val="none" w:sz="0" w:space="0" w:color="auto"/>
                <w:right w:val="none" w:sz="0" w:space="0" w:color="auto"/>
              </w:divBdr>
            </w:div>
            <w:div w:id="1231233767">
              <w:marLeft w:val="0"/>
              <w:marRight w:val="0"/>
              <w:marTop w:val="0"/>
              <w:marBottom w:val="0"/>
              <w:divBdr>
                <w:top w:val="none" w:sz="0" w:space="0" w:color="auto"/>
                <w:left w:val="none" w:sz="0" w:space="0" w:color="auto"/>
                <w:bottom w:val="none" w:sz="0" w:space="0" w:color="auto"/>
                <w:right w:val="none" w:sz="0" w:space="0" w:color="auto"/>
              </w:divBdr>
            </w:div>
            <w:div w:id="219904836">
              <w:marLeft w:val="0"/>
              <w:marRight w:val="0"/>
              <w:marTop w:val="0"/>
              <w:marBottom w:val="0"/>
              <w:divBdr>
                <w:top w:val="none" w:sz="0" w:space="0" w:color="auto"/>
                <w:left w:val="none" w:sz="0" w:space="0" w:color="auto"/>
                <w:bottom w:val="none" w:sz="0" w:space="0" w:color="auto"/>
                <w:right w:val="none" w:sz="0" w:space="0" w:color="auto"/>
              </w:divBdr>
            </w:div>
            <w:div w:id="2042583212">
              <w:marLeft w:val="0"/>
              <w:marRight w:val="0"/>
              <w:marTop w:val="0"/>
              <w:marBottom w:val="0"/>
              <w:divBdr>
                <w:top w:val="none" w:sz="0" w:space="0" w:color="auto"/>
                <w:left w:val="none" w:sz="0" w:space="0" w:color="auto"/>
                <w:bottom w:val="none" w:sz="0" w:space="0" w:color="auto"/>
                <w:right w:val="none" w:sz="0" w:space="0" w:color="auto"/>
              </w:divBdr>
            </w:div>
            <w:div w:id="981733904">
              <w:marLeft w:val="0"/>
              <w:marRight w:val="0"/>
              <w:marTop w:val="0"/>
              <w:marBottom w:val="0"/>
              <w:divBdr>
                <w:top w:val="none" w:sz="0" w:space="0" w:color="auto"/>
                <w:left w:val="none" w:sz="0" w:space="0" w:color="auto"/>
                <w:bottom w:val="none" w:sz="0" w:space="0" w:color="auto"/>
                <w:right w:val="none" w:sz="0" w:space="0" w:color="auto"/>
              </w:divBdr>
              <w:divsChild>
                <w:div w:id="1946186118">
                  <w:marLeft w:val="0"/>
                  <w:marRight w:val="0"/>
                  <w:marTop w:val="0"/>
                  <w:marBottom w:val="0"/>
                  <w:divBdr>
                    <w:top w:val="none" w:sz="0" w:space="0" w:color="auto"/>
                    <w:left w:val="none" w:sz="0" w:space="0" w:color="auto"/>
                    <w:bottom w:val="none" w:sz="0" w:space="0" w:color="auto"/>
                    <w:right w:val="none" w:sz="0" w:space="0" w:color="auto"/>
                  </w:divBdr>
                </w:div>
                <w:div w:id="1484588114">
                  <w:marLeft w:val="0"/>
                  <w:marRight w:val="0"/>
                  <w:marTop w:val="0"/>
                  <w:marBottom w:val="0"/>
                  <w:divBdr>
                    <w:top w:val="none" w:sz="0" w:space="0" w:color="auto"/>
                    <w:left w:val="none" w:sz="0" w:space="0" w:color="auto"/>
                    <w:bottom w:val="none" w:sz="0" w:space="0" w:color="auto"/>
                    <w:right w:val="none" w:sz="0" w:space="0" w:color="auto"/>
                  </w:divBdr>
                </w:div>
                <w:div w:id="862091140">
                  <w:marLeft w:val="0"/>
                  <w:marRight w:val="0"/>
                  <w:marTop w:val="0"/>
                  <w:marBottom w:val="0"/>
                  <w:divBdr>
                    <w:top w:val="none" w:sz="0" w:space="0" w:color="auto"/>
                    <w:left w:val="none" w:sz="0" w:space="0" w:color="auto"/>
                    <w:bottom w:val="none" w:sz="0" w:space="0" w:color="auto"/>
                    <w:right w:val="none" w:sz="0" w:space="0" w:color="auto"/>
                  </w:divBdr>
                  <w:divsChild>
                    <w:div w:id="13406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hford.instructure.com/courses/86511/external_tools/retrieve?display=borderless&amp;;url=https%3A%2F%2Fcontent.ashford.edu%2Flti%3Fbookcode%3DTHORNDIKE.8496.17.1" TargetMode="External"/><Relationship Id="rId4" Type="http://schemas.openxmlformats.org/officeDocument/2006/relationships/hyperlink" Target="https://njaes.rutgers.edu/fs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2021-07-16T19:41:00Z</dcterms:created>
  <dcterms:modified xsi:type="dcterms:W3CDTF">2021-07-16T19:43:00Z</dcterms:modified>
</cp:coreProperties>
</file>