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2E961" w14:textId="77777777" w:rsidR="00345D63" w:rsidRPr="00345D63" w:rsidRDefault="00345D63" w:rsidP="00345D63">
      <w:pPr>
        <w:spacing w:after="0" w:line="345" w:lineRule="atLeast"/>
        <w:outlineLvl w:val="1"/>
        <w:rPr>
          <w:rFonts w:ascii="Helvetica" w:eastAsia="Times New Roman" w:hAnsi="Helvetica" w:cs="Helvetica"/>
          <w:b/>
          <w:bCs/>
          <w:color w:val="002664"/>
          <w:sz w:val="36"/>
          <w:szCs w:val="36"/>
        </w:rPr>
      </w:pPr>
      <w:r w:rsidRPr="00345D63">
        <w:rPr>
          <w:rFonts w:ascii="Helvetica" w:eastAsia="Times New Roman" w:hAnsi="Helvetica" w:cs="Helvetica"/>
          <w:b/>
          <w:bCs/>
          <w:color w:val="002664"/>
          <w:sz w:val="36"/>
          <w:szCs w:val="36"/>
        </w:rPr>
        <w:fldChar w:fldCharType="begin"/>
      </w:r>
      <w:r w:rsidRPr="00345D63">
        <w:rPr>
          <w:rFonts w:ascii="Helvetica" w:eastAsia="Times New Roman" w:hAnsi="Helvetica" w:cs="Helvetica"/>
          <w:b/>
          <w:bCs/>
          <w:color w:val="002664"/>
          <w:sz w:val="36"/>
          <w:szCs w:val="36"/>
        </w:rPr>
        <w:instrText xml:space="preserve"> HYPERLINK "https://ashford.instructure.com/courses/73026/users/163039" \o "Author's name" </w:instrText>
      </w:r>
      <w:r w:rsidRPr="00345D63">
        <w:rPr>
          <w:rFonts w:ascii="Helvetica" w:eastAsia="Times New Roman" w:hAnsi="Helvetica" w:cs="Helvetica"/>
          <w:b/>
          <w:bCs/>
          <w:color w:val="002664"/>
          <w:sz w:val="36"/>
          <w:szCs w:val="36"/>
        </w:rPr>
        <w:fldChar w:fldCharType="separate"/>
      </w:r>
      <w:r w:rsidRPr="00345D63">
        <w:rPr>
          <w:rFonts w:ascii="Helvetica" w:eastAsia="Times New Roman" w:hAnsi="Helvetica" w:cs="Helvetica"/>
          <w:b/>
          <w:bCs/>
          <w:color w:val="0000FF"/>
          <w:sz w:val="36"/>
          <w:szCs w:val="36"/>
          <w:u w:val="single"/>
        </w:rPr>
        <w:t>Lola Mayo</w:t>
      </w:r>
      <w:r w:rsidRPr="00345D63">
        <w:rPr>
          <w:rFonts w:ascii="Helvetica" w:eastAsia="Times New Roman" w:hAnsi="Helvetica" w:cs="Helvetica"/>
          <w:b/>
          <w:bCs/>
          <w:color w:val="002664"/>
          <w:sz w:val="36"/>
          <w:szCs w:val="36"/>
        </w:rPr>
        <w:fldChar w:fldCharType="end"/>
      </w:r>
    </w:p>
    <w:p w14:paraId="30AA498E"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xml:space="preserve">The study by Dow, Day, </w:t>
      </w:r>
      <w:proofErr w:type="spellStart"/>
      <w:r w:rsidRPr="00345D63">
        <w:rPr>
          <w:rFonts w:ascii="Helvetica" w:eastAsia="Times New Roman" w:hAnsi="Helvetica" w:cs="Helvetica"/>
          <w:color w:val="2D3B45"/>
          <w:sz w:val="24"/>
          <w:szCs w:val="24"/>
        </w:rPr>
        <w:t>Kutta</w:t>
      </w:r>
      <w:proofErr w:type="spellEnd"/>
      <w:r w:rsidRPr="00345D63">
        <w:rPr>
          <w:rFonts w:ascii="Helvetica" w:eastAsia="Times New Roman" w:hAnsi="Helvetica" w:cs="Helvetica"/>
          <w:color w:val="2D3B45"/>
          <w:sz w:val="24"/>
          <w:szCs w:val="24"/>
        </w:rPr>
        <w:t xml:space="preserve">, </w:t>
      </w:r>
      <w:proofErr w:type="spellStart"/>
      <w:r w:rsidRPr="00345D63">
        <w:rPr>
          <w:rFonts w:ascii="Helvetica" w:eastAsia="Times New Roman" w:hAnsi="Helvetica" w:cs="Helvetica"/>
          <w:color w:val="2D3B45"/>
          <w:sz w:val="24"/>
          <w:szCs w:val="24"/>
        </w:rPr>
        <w:t>Nottke</w:t>
      </w:r>
      <w:proofErr w:type="spellEnd"/>
      <w:r w:rsidRPr="00345D63">
        <w:rPr>
          <w:rFonts w:ascii="Helvetica" w:eastAsia="Times New Roman" w:hAnsi="Helvetica" w:cs="Helvetica"/>
          <w:color w:val="2D3B45"/>
          <w:sz w:val="24"/>
          <w:szCs w:val="24"/>
        </w:rPr>
        <w:t xml:space="preserve">, and </w:t>
      </w:r>
      <w:proofErr w:type="spellStart"/>
      <w:r w:rsidRPr="00345D63">
        <w:rPr>
          <w:rFonts w:ascii="Helvetica" w:eastAsia="Times New Roman" w:hAnsi="Helvetica" w:cs="Helvetica"/>
          <w:color w:val="2D3B45"/>
          <w:sz w:val="24"/>
          <w:szCs w:val="24"/>
        </w:rPr>
        <w:t>Wetherby</w:t>
      </w:r>
      <w:proofErr w:type="spellEnd"/>
      <w:r w:rsidRPr="00345D63">
        <w:rPr>
          <w:rFonts w:ascii="Helvetica" w:eastAsia="Times New Roman" w:hAnsi="Helvetica" w:cs="Helvetica"/>
          <w:color w:val="2D3B45"/>
          <w:sz w:val="24"/>
          <w:szCs w:val="24"/>
        </w:rPr>
        <w:t xml:space="preserve"> (2020), is an illustrative of a probability sampling method. Specific behaviors are measured utilizing specific patterns and environment to increase reaction. The researched utilized qualitative data and mean scores to identify leverage of information. The sample utilized more than 300 infants within specific age groups, that is categorized to identify similar traits. Research data, parent reports identified outcomes towards red flags. The probability measured and mean score reflected general characteristics of children with autism (Dow, </w:t>
      </w:r>
      <w:proofErr w:type="spellStart"/>
      <w:r w:rsidRPr="00345D63">
        <w:rPr>
          <w:rFonts w:ascii="Helvetica" w:eastAsia="Times New Roman" w:hAnsi="Helvetica" w:cs="Helvetica"/>
          <w:color w:val="2D3B45"/>
          <w:sz w:val="24"/>
          <w:szCs w:val="24"/>
        </w:rPr>
        <w:t>Kutta</w:t>
      </w:r>
      <w:proofErr w:type="spellEnd"/>
      <w:r w:rsidRPr="00345D63">
        <w:rPr>
          <w:rFonts w:ascii="Helvetica" w:eastAsia="Times New Roman" w:hAnsi="Helvetica" w:cs="Helvetica"/>
          <w:color w:val="2D3B45"/>
          <w:sz w:val="24"/>
          <w:szCs w:val="24"/>
        </w:rPr>
        <w:t xml:space="preserve">, </w:t>
      </w:r>
      <w:proofErr w:type="spellStart"/>
      <w:r w:rsidRPr="00345D63">
        <w:rPr>
          <w:rFonts w:ascii="Helvetica" w:eastAsia="Times New Roman" w:hAnsi="Helvetica" w:cs="Helvetica"/>
          <w:color w:val="2D3B45"/>
          <w:sz w:val="24"/>
          <w:szCs w:val="24"/>
        </w:rPr>
        <w:t>Nottke</w:t>
      </w:r>
      <w:proofErr w:type="spellEnd"/>
      <w:r w:rsidRPr="00345D63">
        <w:rPr>
          <w:rFonts w:ascii="Helvetica" w:eastAsia="Times New Roman" w:hAnsi="Helvetica" w:cs="Helvetica"/>
          <w:color w:val="2D3B45"/>
          <w:sz w:val="24"/>
          <w:szCs w:val="24"/>
        </w:rPr>
        <w:t xml:space="preserve">, &amp; </w:t>
      </w:r>
      <w:proofErr w:type="spellStart"/>
      <w:r w:rsidRPr="00345D63">
        <w:rPr>
          <w:rFonts w:ascii="Helvetica" w:eastAsia="Times New Roman" w:hAnsi="Helvetica" w:cs="Helvetica"/>
          <w:color w:val="2D3B45"/>
          <w:sz w:val="24"/>
          <w:szCs w:val="24"/>
        </w:rPr>
        <w:t>Wetherby</w:t>
      </w:r>
      <w:proofErr w:type="spellEnd"/>
      <w:r w:rsidRPr="00345D63">
        <w:rPr>
          <w:rFonts w:ascii="Helvetica" w:eastAsia="Times New Roman" w:hAnsi="Helvetica" w:cs="Helvetica"/>
          <w:color w:val="2D3B45"/>
          <w:sz w:val="24"/>
          <w:szCs w:val="24"/>
        </w:rPr>
        <w:t>, 2020).</w:t>
      </w:r>
    </w:p>
    <w:p w14:paraId="0FD48E27"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w:t>
      </w:r>
    </w:p>
    <w:p w14:paraId="685E1F2B"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xml:space="preserve">Non-probability sampling identified factors that lead to diagnosis of autism may not be true autism. The research utilized different behaviors that is linked to autistic behaviors as a way to identify or discredit the generalized behavior and thinking of autism diagnosis. The research utilized 1000 individuals with different range of autism spectrum disorder. However, only 250 out of the 1000 selected candidate’s actual had a true autism diagnosis. The sample utilized was collected from different areas, recognizing that although there is link between these behaviors </w:t>
      </w:r>
      <w:proofErr w:type="spellStart"/>
      <w:r w:rsidRPr="00345D63">
        <w:rPr>
          <w:rFonts w:ascii="Helvetica" w:eastAsia="Times New Roman" w:hAnsi="Helvetica" w:cs="Helvetica"/>
          <w:color w:val="2D3B45"/>
          <w:sz w:val="24"/>
          <w:szCs w:val="24"/>
        </w:rPr>
        <w:t>its</w:t>
      </w:r>
      <w:proofErr w:type="spellEnd"/>
      <w:r w:rsidRPr="00345D63">
        <w:rPr>
          <w:rFonts w:ascii="Helvetica" w:eastAsia="Times New Roman" w:hAnsi="Helvetica" w:cs="Helvetica"/>
          <w:color w:val="2D3B45"/>
          <w:sz w:val="24"/>
          <w:szCs w:val="24"/>
        </w:rPr>
        <w:t xml:space="preserve"> too soon to assume generalized traits to autism spectrum as this order have or require more probability sampling. The research identifies specific trends and patterns of behaviors based on gender, rather than the autism disorder (</w:t>
      </w:r>
      <w:proofErr w:type="spellStart"/>
      <w:r w:rsidRPr="00345D63">
        <w:rPr>
          <w:rFonts w:ascii="Helvetica" w:eastAsia="Times New Roman" w:hAnsi="Helvetica" w:cs="Helvetica"/>
          <w:color w:val="2D3B45"/>
          <w:sz w:val="24"/>
          <w:szCs w:val="24"/>
        </w:rPr>
        <w:t>Rowberry</w:t>
      </w:r>
      <w:proofErr w:type="spellEnd"/>
      <w:r w:rsidRPr="00345D63">
        <w:rPr>
          <w:rFonts w:ascii="Helvetica" w:eastAsia="Times New Roman" w:hAnsi="Helvetica" w:cs="Helvetica"/>
          <w:color w:val="2D3B45"/>
          <w:sz w:val="24"/>
          <w:szCs w:val="24"/>
        </w:rPr>
        <w:t xml:space="preserve">, </w:t>
      </w:r>
      <w:proofErr w:type="spellStart"/>
      <w:r w:rsidRPr="00345D63">
        <w:rPr>
          <w:rFonts w:ascii="Helvetica" w:eastAsia="Times New Roman" w:hAnsi="Helvetica" w:cs="Helvetica"/>
          <w:color w:val="2D3B45"/>
          <w:sz w:val="24"/>
          <w:szCs w:val="24"/>
        </w:rPr>
        <w:t>Macari</w:t>
      </w:r>
      <w:proofErr w:type="spellEnd"/>
      <w:r w:rsidRPr="00345D63">
        <w:rPr>
          <w:rFonts w:ascii="Helvetica" w:eastAsia="Times New Roman" w:hAnsi="Helvetica" w:cs="Helvetica"/>
          <w:color w:val="2D3B45"/>
          <w:sz w:val="24"/>
          <w:szCs w:val="24"/>
        </w:rPr>
        <w:t>, Chen, Campbell, Leventhal, et.al, 2015).</w:t>
      </w:r>
    </w:p>
    <w:p w14:paraId="7DDEACE1"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When comparing both probability and non-probability sampling methods the authors utilize many sampling techniques. For probability many measures and data were calculated to identify specific behaviors and trends. The data although having some qualitative through parent survey, identified specific behaviors by calculated amount of behavior noted, then identifying a calculating amount. From there, the collective data identified a mode, mean of each red flag behavior. For the nonprobability sampling methods that was utilized was random and quota. Although gender was identified, only sample data was used. Many of the techniques didn’t provided concrete stratified samples as samples received and verified from probability techniques (</w:t>
      </w:r>
      <w:proofErr w:type="spellStart"/>
      <w:r w:rsidRPr="00345D63">
        <w:rPr>
          <w:rFonts w:ascii="Helvetica" w:eastAsia="Times New Roman" w:hAnsi="Helvetica" w:cs="Helvetica"/>
          <w:color w:val="2D3B45"/>
          <w:sz w:val="24"/>
          <w:szCs w:val="24"/>
        </w:rPr>
        <w:t>Rowberry</w:t>
      </w:r>
      <w:proofErr w:type="spellEnd"/>
      <w:r w:rsidRPr="00345D63">
        <w:rPr>
          <w:rFonts w:ascii="Helvetica" w:eastAsia="Times New Roman" w:hAnsi="Helvetica" w:cs="Helvetica"/>
          <w:color w:val="2D3B45"/>
          <w:sz w:val="24"/>
          <w:szCs w:val="24"/>
        </w:rPr>
        <w:t xml:space="preserve">, </w:t>
      </w:r>
      <w:proofErr w:type="spellStart"/>
      <w:r w:rsidRPr="00345D63">
        <w:rPr>
          <w:rFonts w:ascii="Helvetica" w:eastAsia="Times New Roman" w:hAnsi="Helvetica" w:cs="Helvetica"/>
          <w:color w:val="2D3B45"/>
          <w:sz w:val="24"/>
          <w:szCs w:val="24"/>
        </w:rPr>
        <w:t>Macari</w:t>
      </w:r>
      <w:proofErr w:type="spellEnd"/>
      <w:r w:rsidRPr="00345D63">
        <w:rPr>
          <w:rFonts w:ascii="Helvetica" w:eastAsia="Times New Roman" w:hAnsi="Helvetica" w:cs="Helvetica"/>
          <w:color w:val="2D3B45"/>
          <w:sz w:val="24"/>
          <w:szCs w:val="24"/>
        </w:rPr>
        <w:t>, Chen, Campbell, Leventhal, et.al, 2015).</w:t>
      </w:r>
    </w:p>
    <w:p w14:paraId="629B2208"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In control groups both studies provided ample information. However, the nonprobability sampling focused more on qualitative approach, whereas the probability sampling focused more on quantitative approach. Both groups had a control group which was recognized and utilized in many health trends and practices. This help to identify variables, differences, and percentages. The sampled data could be concluded within the 50% range of both probability and nonprobability outcomes, however, the probability outcomes and data showed higher and concrete information ensuring validity of data collected. Base on the information provided by both data, probability data would be best suited to show aggregated changes or specific trends as these information’s can be sampled, replicated, and redefine to identify specific trends and patterns. When these data are readily feasible, then it would increase sampling, creating more constraint during research study (Cozy &amp; Bates, 2017).</w:t>
      </w:r>
    </w:p>
    <w:p w14:paraId="74757521"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lastRenderedPageBreak/>
        <w:t> </w:t>
      </w:r>
    </w:p>
    <w:p w14:paraId="591B663A" w14:textId="77777777" w:rsidR="00345D63" w:rsidRPr="00345D63" w:rsidRDefault="00345D63" w:rsidP="00345D63">
      <w:pPr>
        <w:shd w:val="clear" w:color="auto" w:fill="FFFFFF"/>
        <w:spacing w:before="180" w:after="18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Reference</w:t>
      </w:r>
    </w:p>
    <w:p w14:paraId="0B2DA700" w14:textId="77777777" w:rsidR="00345D63" w:rsidRPr="00345D63" w:rsidRDefault="00345D63" w:rsidP="00345D63">
      <w:pPr>
        <w:shd w:val="clear" w:color="auto" w:fill="FFFFFF"/>
        <w:spacing w:before="180"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w:t>
      </w:r>
      <w:proofErr w:type="spellStart"/>
      <w:r w:rsidRPr="00345D63">
        <w:rPr>
          <w:rFonts w:ascii="Helvetica" w:eastAsia="Times New Roman" w:hAnsi="Helvetica" w:cs="Helvetica"/>
          <w:color w:val="2D3B45"/>
          <w:sz w:val="24"/>
          <w:szCs w:val="24"/>
        </w:rPr>
        <w:t>Cozby</w:t>
      </w:r>
      <w:proofErr w:type="spellEnd"/>
      <w:r w:rsidRPr="00345D63">
        <w:rPr>
          <w:rFonts w:ascii="Helvetica" w:eastAsia="Times New Roman" w:hAnsi="Helvetica" w:cs="Helvetica"/>
          <w:color w:val="2D3B45"/>
          <w:sz w:val="24"/>
          <w:szCs w:val="24"/>
        </w:rPr>
        <w:t>, P. &amp; Bates, S. (2017). </w:t>
      </w:r>
      <w:r w:rsidRPr="00345D63">
        <w:rPr>
          <w:rFonts w:ascii="Helvetica" w:eastAsia="Times New Roman" w:hAnsi="Helvetica" w:cs="Helvetica"/>
          <w:i/>
          <w:iCs/>
          <w:color w:val="2D3B45"/>
          <w:sz w:val="24"/>
          <w:szCs w:val="24"/>
        </w:rPr>
        <w:t>Methods in behavioral research (13th ed)</w:t>
      </w:r>
      <w:r w:rsidRPr="00345D63">
        <w:rPr>
          <w:rFonts w:ascii="Helvetica" w:eastAsia="Times New Roman" w:hAnsi="Helvetica" w:cs="Helvetica"/>
          <w:color w:val="2D3B45"/>
          <w:sz w:val="24"/>
          <w:szCs w:val="24"/>
        </w:rPr>
        <w:t>. New York, NY: McGraw-Hill.</w:t>
      </w:r>
    </w:p>
    <w:p w14:paraId="716C5C00" w14:textId="77777777" w:rsidR="00345D63" w:rsidRPr="00345D63" w:rsidRDefault="00345D63" w:rsidP="00345D63">
      <w:pPr>
        <w:shd w:val="clear" w:color="auto" w:fill="FFFFFF"/>
        <w:spacing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xml:space="preserve">Dow, D., Day, T.N., </w:t>
      </w:r>
      <w:proofErr w:type="spellStart"/>
      <w:r w:rsidRPr="00345D63">
        <w:rPr>
          <w:rFonts w:ascii="Helvetica" w:eastAsia="Times New Roman" w:hAnsi="Helvetica" w:cs="Helvetica"/>
          <w:color w:val="2D3B45"/>
          <w:sz w:val="24"/>
          <w:szCs w:val="24"/>
        </w:rPr>
        <w:t>Kutta</w:t>
      </w:r>
      <w:proofErr w:type="spellEnd"/>
      <w:r w:rsidRPr="00345D63">
        <w:rPr>
          <w:rFonts w:ascii="Helvetica" w:eastAsia="Times New Roman" w:hAnsi="Helvetica" w:cs="Helvetica"/>
          <w:color w:val="2D3B45"/>
          <w:sz w:val="24"/>
          <w:szCs w:val="24"/>
        </w:rPr>
        <w:t xml:space="preserve">, T.J., </w:t>
      </w:r>
      <w:proofErr w:type="spellStart"/>
      <w:r w:rsidRPr="00345D63">
        <w:rPr>
          <w:rFonts w:ascii="Helvetica" w:eastAsia="Times New Roman" w:hAnsi="Helvetica" w:cs="Helvetica"/>
          <w:color w:val="2D3B45"/>
          <w:sz w:val="24"/>
          <w:szCs w:val="24"/>
        </w:rPr>
        <w:t>Nottke</w:t>
      </w:r>
      <w:proofErr w:type="spellEnd"/>
      <w:r w:rsidRPr="00345D63">
        <w:rPr>
          <w:rFonts w:ascii="Helvetica" w:eastAsia="Times New Roman" w:hAnsi="Helvetica" w:cs="Helvetica"/>
          <w:color w:val="2D3B45"/>
          <w:sz w:val="24"/>
          <w:szCs w:val="24"/>
        </w:rPr>
        <w:t xml:space="preserve">, C. and </w:t>
      </w:r>
      <w:proofErr w:type="spellStart"/>
      <w:r w:rsidRPr="00345D63">
        <w:rPr>
          <w:rFonts w:ascii="Helvetica" w:eastAsia="Times New Roman" w:hAnsi="Helvetica" w:cs="Helvetica"/>
          <w:color w:val="2D3B45"/>
          <w:sz w:val="24"/>
          <w:szCs w:val="24"/>
        </w:rPr>
        <w:t>Wetherby</w:t>
      </w:r>
      <w:proofErr w:type="spellEnd"/>
      <w:r w:rsidRPr="00345D63">
        <w:rPr>
          <w:rFonts w:ascii="Helvetica" w:eastAsia="Times New Roman" w:hAnsi="Helvetica" w:cs="Helvetica"/>
          <w:color w:val="2D3B45"/>
          <w:sz w:val="24"/>
          <w:szCs w:val="24"/>
        </w:rPr>
        <w:t>, A.M. (2020), Screening for autism spectrum disorder in a naturalistic home setting using the systematic observation of red flags (SORF) at 18–24 months. Autism Research, 13: 122-133. doi:</w:t>
      </w:r>
      <w:hyperlink r:id="rId4" w:tgtFrame="_blank" w:history="1">
        <w:r w:rsidRPr="00345D63">
          <w:rPr>
            <w:rFonts w:ascii="Helvetica" w:eastAsia="Times New Roman" w:hAnsi="Helvetica" w:cs="Helvetica"/>
            <w:color w:val="0000FF"/>
            <w:sz w:val="24"/>
            <w:szCs w:val="24"/>
            <w:u w:val="single"/>
          </w:rPr>
          <w:t>10.1002/aur.2226</w:t>
        </w:r>
        <w:r w:rsidRPr="00345D63">
          <w:rPr>
            <w:rFonts w:ascii="Helvetica" w:eastAsia="Times New Roman" w:hAnsi="Helvetica" w:cs="Helvetica"/>
            <w:color w:val="0000FF"/>
            <w:sz w:val="24"/>
            <w:szCs w:val="24"/>
            <w:bdr w:val="none" w:sz="0" w:space="0" w:color="auto" w:frame="1"/>
          </w:rPr>
          <w:t> (Links to an external site.)</w:t>
        </w:r>
      </w:hyperlink>
    </w:p>
    <w:p w14:paraId="65126442" w14:textId="77777777" w:rsidR="00345D63" w:rsidRPr="00345D63" w:rsidRDefault="00345D63" w:rsidP="00345D63">
      <w:pPr>
        <w:shd w:val="clear" w:color="auto" w:fill="FFFFFF"/>
        <w:spacing w:before="180" w:after="0" w:line="240" w:lineRule="auto"/>
        <w:rPr>
          <w:rFonts w:ascii="Helvetica" w:eastAsia="Times New Roman" w:hAnsi="Helvetica" w:cs="Helvetica"/>
          <w:color w:val="2D3B45"/>
          <w:sz w:val="24"/>
          <w:szCs w:val="24"/>
        </w:rPr>
      </w:pPr>
      <w:proofErr w:type="spellStart"/>
      <w:r w:rsidRPr="00345D63">
        <w:rPr>
          <w:rFonts w:ascii="Helvetica" w:eastAsia="Times New Roman" w:hAnsi="Helvetica" w:cs="Helvetica"/>
          <w:color w:val="2D3B45"/>
          <w:sz w:val="24"/>
          <w:szCs w:val="24"/>
        </w:rPr>
        <w:t>Rowberry</w:t>
      </w:r>
      <w:proofErr w:type="spellEnd"/>
      <w:r w:rsidRPr="00345D63">
        <w:rPr>
          <w:rFonts w:ascii="Helvetica" w:eastAsia="Times New Roman" w:hAnsi="Helvetica" w:cs="Helvetica"/>
          <w:color w:val="2D3B45"/>
          <w:sz w:val="24"/>
          <w:szCs w:val="24"/>
        </w:rPr>
        <w:t>, J., </w:t>
      </w:r>
      <w:proofErr w:type="spellStart"/>
      <w:r w:rsidRPr="00345D63">
        <w:rPr>
          <w:rFonts w:ascii="Helvetica" w:eastAsia="Times New Roman" w:hAnsi="Helvetica" w:cs="Helvetica"/>
          <w:color w:val="2D3B45"/>
          <w:sz w:val="24"/>
          <w:szCs w:val="24"/>
        </w:rPr>
        <w:t>Macari</w:t>
      </w:r>
      <w:proofErr w:type="spellEnd"/>
      <w:r w:rsidRPr="00345D63">
        <w:rPr>
          <w:rFonts w:ascii="Helvetica" w:eastAsia="Times New Roman" w:hAnsi="Helvetica" w:cs="Helvetica"/>
          <w:color w:val="2D3B45"/>
          <w:sz w:val="24"/>
          <w:szCs w:val="24"/>
        </w:rPr>
        <w:t>, S., Chen, G., Campbell, D., Leventhal, J. M., Weitzman, C., &amp; </w:t>
      </w:r>
      <w:proofErr w:type="spellStart"/>
      <w:r w:rsidRPr="00345D63">
        <w:rPr>
          <w:rFonts w:ascii="Helvetica" w:eastAsia="Times New Roman" w:hAnsi="Helvetica" w:cs="Helvetica"/>
          <w:color w:val="2D3B45"/>
          <w:sz w:val="24"/>
          <w:szCs w:val="24"/>
        </w:rPr>
        <w:t>Chawarska</w:t>
      </w:r>
      <w:proofErr w:type="spellEnd"/>
      <w:r w:rsidRPr="00345D63">
        <w:rPr>
          <w:rFonts w:ascii="Helvetica" w:eastAsia="Times New Roman" w:hAnsi="Helvetica" w:cs="Helvetica"/>
          <w:color w:val="2D3B45"/>
          <w:sz w:val="24"/>
          <w:szCs w:val="24"/>
        </w:rPr>
        <w:t>, K. (2015). Screening for autism spectrum disorders in 12</w:t>
      </w:r>
      <w:r w:rsidRPr="00345D63">
        <w:rPr>
          <w:rFonts w:ascii="Cambria Math" w:eastAsia="Times New Roman" w:hAnsi="Cambria Math" w:cs="Cambria Math"/>
          <w:color w:val="2D3B45"/>
          <w:sz w:val="24"/>
          <w:szCs w:val="24"/>
        </w:rPr>
        <w:t>‐</w:t>
      </w:r>
      <w:r w:rsidRPr="00345D63">
        <w:rPr>
          <w:rFonts w:ascii="Helvetica" w:eastAsia="Times New Roman" w:hAnsi="Helvetica" w:cs="Helvetica"/>
          <w:color w:val="2D3B45"/>
          <w:sz w:val="24"/>
          <w:szCs w:val="24"/>
        </w:rPr>
        <w:t>month</w:t>
      </w:r>
      <w:r w:rsidRPr="00345D63">
        <w:rPr>
          <w:rFonts w:ascii="Cambria Math" w:eastAsia="Times New Roman" w:hAnsi="Cambria Math" w:cs="Cambria Math"/>
          <w:color w:val="2D3B45"/>
          <w:sz w:val="24"/>
          <w:szCs w:val="24"/>
        </w:rPr>
        <w:t>‐</w:t>
      </w:r>
      <w:r w:rsidRPr="00345D63">
        <w:rPr>
          <w:rFonts w:ascii="Helvetica" w:eastAsia="Times New Roman" w:hAnsi="Helvetica" w:cs="Helvetica"/>
          <w:color w:val="2D3B45"/>
          <w:sz w:val="24"/>
          <w:szCs w:val="24"/>
        </w:rPr>
        <w:t>old high</w:t>
      </w:r>
      <w:r w:rsidRPr="00345D63">
        <w:rPr>
          <w:rFonts w:ascii="Cambria Math" w:eastAsia="Times New Roman" w:hAnsi="Cambria Math" w:cs="Cambria Math"/>
          <w:color w:val="2D3B45"/>
          <w:sz w:val="24"/>
          <w:szCs w:val="24"/>
        </w:rPr>
        <w:t>‐</w:t>
      </w:r>
      <w:r w:rsidRPr="00345D63">
        <w:rPr>
          <w:rFonts w:ascii="Helvetica" w:eastAsia="Times New Roman" w:hAnsi="Helvetica" w:cs="Helvetica"/>
          <w:color w:val="2D3B45"/>
          <w:sz w:val="24"/>
          <w:szCs w:val="24"/>
        </w:rPr>
        <w:t>risk siblings by parental report. </w:t>
      </w:r>
      <w:r w:rsidRPr="00345D63">
        <w:rPr>
          <w:rFonts w:ascii="Helvetica" w:eastAsia="Times New Roman" w:hAnsi="Helvetica" w:cs="Helvetica"/>
          <w:i/>
          <w:iCs/>
          <w:color w:val="2D3B45"/>
          <w:sz w:val="24"/>
          <w:szCs w:val="24"/>
        </w:rPr>
        <w:t>Journal of Autism and Developmental Disorders</w:t>
      </w:r>
      <w:r w:rsidRPr="00345D63">
        <w:rPr>
          <w:rFonts w:ascii="Helvetica" w:eastAsia="Times New Roman" w:hAnsi="Helvetica" w:cs="Helvetica"/>
          <w:color w:val="2D3B45"/>
          <w:sz w:val="24"/>
          <w:szCs w:val="24"/>
        </w:rPr>
        <w:t>, </w:t>
      </w:r>
      <w:r w:rsidRPr="00345D63">
        <w:rPr>
          <w:rFonts w:ascii="Helvetica" w:eastAsia="Times New Roman" w:hAnsi="Helvetica" w:cs="Helvetica"/>
          <w:b/>
          <w:bCs/>
          <w:color w:val="2D3B45"/>
          <w:sz w:val="24"/>
          <w:szCs w:val="24"/>
        </w:rPr>
        <w:t>45</w:t>
      </w:r>
      <w:r w:rsidRPr="00345D63">
        <w:rPr>
          <w:rFonts w:ascii="Helvetica" w:eastAsia="Times New Roman" w:hAnsi="Helvetica" w:cs="Helvetica"/>
          <w:color w:val="2D3B45"/>
          <w:sz w:val="24"/>
          <w:szCs w:val="24"/>
        </w:rPr>
        <w:t>(1), 221– 229.</w:t>
      </w:r>
    </w:p>
    <w:p w14:paraId="0D9D2659" w14:textId="77777777" w:rsidR="00345D63" w:rsidRPr="00345D63" w:rsidRDefault="00345D63" w:rsidP="00345D63">
      <w:pPr>
        <w:shd w:val="clear" w:color="auto" w:fill="FFFFFF"/>
        <w:spacing w:before="180"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w:t>
      </w:r>
    </w:p>
    <w:p w14:paraId="7711890C" w14:textId="219DFD74" w:rsidR="00822469" w:rsidRDefault="00345D63">
      <w:r>
        <w:t>ERICA SAMPSON</w:t>
      </w:r>
    </w:p>
    <w:p w14:paraId="451107FB" w14:textId="396C14E8" w:rsidR="00345D63" w:rsidRDefault="00345D63"/>
    <w:p w14:paraId="45CCBA61" w14:textId="77777777" w:rsidR="00345D63" w:rsidRPr="00345D63" w:rsidRDefault="00345D63" w:rsidP="00345D63">
      <w:pPr>
        <w:shd w:val="clear" w:color="auto" w:fill="FFFFFF"/>
        <w:spacing w:before="180"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Probability Sampling Method -</w:t>
      </w:r>
      <w:r w:rsidRPr="00345D63">
        <w:rPr>
          <w:rFonts w:ascii="Helvetica" w:eastAsia="Times New Roman" w:hAnsi="Helvetica" w:cs="Helvetica"/>
          <w:color w:val="2D3B45"/>
          <w:sz w:val="24"/>
          <w:szCs w:val="24"/>
        </w:rPr>
        <w:br/>
        <w:t xml:space="preserve">     My first chosen article discusses when individuals choose to drink alcoholic beverages in places such as bars and clubs and correlate to violence and impaired driving. The sampling strategy consists of various alcohol outlets and the duration of hours the individuals remained at the bar, engaging in alcohol. "683 drivers interviewed, leading to an estimate that 56.3% of the drivers intended to drive after drinking in less than one hour after the interview" (De </w:t>
      </w:r>
      <w:proofErr w:type="spellStart"/>
      <w:r w:rsidRPr="00345D63">
        <w:rPr>
          <w:rFonts w:ascii="Helvetica" w:eastAsia="Times New Roman" w:hAnsi="Helvetica" w:cs="Helvetica"/>
          <w:color w:val="2D3B45"/>
          <w:sz w:val="24"/>
          <w:szCs w:val="24"/>
        </w:rPr>
        <w:t>Boni</w:t>
      </w:r>
      <w:proofErr w:type="spellEnd"/>
      <w:r w:rsidRPr="00345D63">
        <w:rPr>
          <w:rFonts w:ascii="Helvetica" w:eastAsia="Times New Roman" w:hAnsi="Helvetica" w:cs="Helvetica"/>
          <w:color w:val="2D3B45"/>
          <w:sz w:val="24"/>
          <w:szCs w:val="24"/>
        </w:rPr>
        <w:t>, 2012, p. 3). These individuals' sampling helps with the findings because most individual research in this field is not through face-to-face interviews. The data are collected from telephone-based surveys and places where significant harm from consumption is reported, such as emergency rooms. The sample represented the population because the interviews were conducted of individuals between the ages of 21 and over. They were being interviewed regarding their behavior and actions. Another option they could have utilized was the Time location/space sampling (TLS), which allows the researcher to obtain further research if the different seasons of the year make a difference, weekdays vs. weekends, etc.</w:t>
      </w:r>
      <w:r w:rsidRPr="00345D63">
        <w:rPr>
          <w:rFonts w:ascii="Helvetica" w:eastAsia="Times New Roman" w:hAnsi="Helvetica" w:cs="Helvetica"/>
          <w:color w:val="2D3B45"/>
          <w:sz w:val="24"/>
          <w:szCs w:val="24"/>
        </w:rPr>
        <w:br/>
        <w:t>Utilizing the probability sampling procedure produces more rigorous research, in my opinion, because it limits bias.</w:t>
      </w:r>
    </w:p>
    <w:p w14:paraId="5A16F7A0" w14:textId="77777777" w:rsidR="00345D63" w:rsidRPr="00345D63" w:rsidRDefault="00345D63" w:rsidP="00345D63">
      <w:pPr>
        <w:shd w:val="clear" w:color="auto" w:fill="FFFFFF"/>
        <w:spacing w:before="180"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Non-probability Sampling Method -</w:t>
      </w:r>
      <w:r w:rsidRPr="00345D63">
        <w:rPr>
          <w:rFonts w:ascii="Helvetica" w:eastAsia="Times New Roman" w:hAnsi="Helvetica" w:cs="Helvetica"/>
          <w:color w:val="2D3B45"/>
          <w:sz w:val="24"/>
          <w:szCs w:val="24"/>
        </w:rPr>
        <w:br/>
        <w:t xml:space="preserve">     For my second article it discusses data sampling strategies for disaster and emergency health research. "Non-probability sampling techniques include methods based on researcher judgement or researcher selection of those available and that are presumed to be able to provide data for a study" (Stratton, 2019, p. 1). They chose 50 disaster victims (Study subjects) to represent 500 total victims (target population) for this research project. This would be an acceptable way of finding results since the researcher </w:t>
      </w:r>
      <w:proofErr w:type="spellStart"/>
      <w:r w:rsidRPr="00345D63">
        <w:rPr>
          <w:rFonts w:ascii="Helvetica" w:eastAsia="Times New Roman" w:hAnsi="Helvetica" w:cs="Helvetica"/>
          <w:color w:val="2D3B45"/>
          <w:sz w:val="24"/>
          <w:szCs w:val="24"/>
        </w:rPr>
        <w:t>can not</w:t>
      </w:r>
      <w:proofErr w:type="spellEnd"/>
      <w:r w:rsidRPr="00345D63">
        <w:rPr>
          <w:rFonts w:ascii="Helvetica" w:eastAsia="Times New Roman" w:hAnsi="Helvetica" w:cs="Helvetica"/>
          <w:color w:val="2D3B45"/>
          <w:sz w:val="24"/>
          <w:szCs w:val="24"/>
        </w:rPr>
        <w:t xml:space="preserve"> interview everyone from the target population. With such a large target population, they could also take advantage of using random cluster sampling. </w:t>
      </w:r>
      <w:r w:rsidRPr="00345D63">
        <w:rPr>
          <w:rFonts w:ascii="Helvetica" w:eastAsia="Times New Roman" w:hAnsi="Helvetica" w:cs="Helvetica"/>
          <w:color w:val="2D3B45"/>
          <w:sz w:val="24"/>
          <w:szCs w:val="24"/>
        </w:rPr>
        <w:lastRenderedPageBreak/>
        <w:t>Which allows systematically selecting study subjects during health and emergency disasters. Individuals are randomly identified and asked to become study subjects.</w:t>
      </w:r>
    </w:p>
    <w:p w14:paraId="3E268D8A" w14:textId="77777777" w:rsidR="00345D63" w:rsidRPr="00345D63" w:rsidRDefault="00345D63" w:rsidP="00345D63">
      <w:pPr>
        <w:shd w:val="clear" w:color="auto" w:fill="FFFFFF"/>
        <w:spacing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References:</w:t>
      </w:r>
    </w:p>
    <w:p w14:paraId="6810CDDB" w14:textId="77777777" w:rsidR="00345D63" w:rsidRPr="00345D63" w:rsidRDefault="00345D63" w:rsidP="00345D63">
      <w:pPr>
        <w:shd w:val="clear" w:color="auto" w:fill="FFFFFF"/>
        <w:spacing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xml:space="preserve">De </w:t>
      </w:r>
      <w:proofErr w:type="spellStart"/>
      <w:r w:rsidRPr="00345D63">
        <w:rPr>
          <w:rFonts w:ascii="Helvetica" w:eastAsia="Times New Roman" w:hAnsi="Helvetica" w:cs="Helvetica"/>
          <w:color w:val="2D3B45"/>
          <w:sz w:val="24"/>
          <w:szCs w:val="24"/>
        </w:rPr>
        <w:t>Boni</w:t>
      </w:r>
      <w:proofErr w:type="spellEnd"/>
      <w:r w:rsidRPr="00345D63">
        <w:rPr>
          <w:rFonts w:ascii="Helvetica" w:eastAsia="Times New Roman" w:hAnsi="Helvetica" w:cs="Helvetica"/>
          <w:color w:val="2D3B45"/>
          <w:sz w:val="24"/>
          <w:szCs w:val="24"/>
        </w:rPr>
        <w:t xml:space="preserve">, R., Pedro Luis do, N. S., Bastos, F. I., </w:t>
      </w:r>
      <w:proofErr w:type="spellStart"/>
      <w:r w:rsidRPr="00345D63">
        <w:rPr>
          <w:rFonts w:ascii="Helvetica" w:eastAsia="Times New Roman" w:hAnsi="Helvetica" w:cs="Helvetica"/>
          <w:color w:val="2D3B45"/>
          <w:sz w:val="24"/>
          <w:szCs w:val="24"/>
        </w:rPr>
        <w:t>Pechansky</w:t>
      </w:r>
      <w:proofErr w:type="spellEnd"/>
      <w:r w:rsidRPr="00345D63">
        <w:rPr>
          <w:rFonts w:ascii="Helvetica" w:eastAsia="Times New Roman" w:hAnsi="Helvetica" w:cs="Helvetica"/>
          <w:color w:val="2D3B45"/>
          <w:sz w:val="24"/>
          <w:szCs w:val="24"/>
        </w:rPr>
        <w:t xml:space="preserve">, F., &amp; Mauricio Teixeira </w:t>
      </w:r>
      <w:proofErr w:type="spellStart"/>
      <w:r w:rsidRPr="00345D63">
        <w:rPr>
          <w:rFonts w:ascii="Helvetica" w:eastAsia="Times New Roman" w:hAnsi="Helvetica" w:cs="Helvetica"/>
          <w:color w:val="2D3B45"/>
          <w:sz w:val="24"/>
          <w:szCs w:val="24"/>
        </w:rPr>
        <w:t>Leite</w:t>
      </w:r>
      <w:proofErr w:type="spellEnd"/>
      <w:r w:rsidRPr="00345D63">
        <w:rPr>
          <w:rFonts w:ascii="Helvetica" w:eastAsia="Times New Roman" w:hAnsi="Helvetica" w:cs="Helvetica"/>
          <w:color w:val="2D3B45"/>
          <w:sz w:val="24"/>
          <w:szCs w:val="24"/>
        </w:rPr>
        <w:t>, d. V. (2012). Reaching the hard-to-reach: A probability sampling method for assessing prevalence of driving under the influence after drinking in alcohol outlets.</w:t>
      </w:r>
      <w:r w:rsidRPr="00345D63">
        <w:rPr>
          <w:rFonts w:ascii="Helvetica" w:eastAsia="Times New Roman" w:hAnsi="Helvetica" w:cs="Helvetica"/>
          <w:i/>
          <w:iCs/>
          <w:color w:val="2D3B45"/>
          <w:sz w:val="24"/>
          <w:szCs w:val="24"/>
        </w:rPr>
        <w:t> </w:t>
      </w:r>
      <w:proofErr w:type="spellStart"/>
      <w:r w:rsidRPr="00345D63">
        <w:rPr>
          <w:rFonts w:ascii="Helvetica" w:eastAsia="Times New Roman" w:hAnsi="Helvetica" w:cs="Helvetica"/>
          <w:i/>
          <w:iCs/>
          <w:color w:val="2D3B45"/>
          <w:sz w:val="24"/>
          <w:szCs w:val="24"/>
        </w:rPr>
        <w:t>PLoS</w:t>
      </w:r>
      <w:proofErr w:type="spellEnd"/>
      <w:r w:rsidRPr="00345D63">
        <w:rPr>
          <w:rFonts w:ascii="Helvetica" w:eastAsia="Times New Roman" w:hAnsi="Helvetica" w:cs="Helvetica"/>
          <w:i/>
          <w:iCs/>
          <w:color w:val="2D3B45"/>
          <w:sz w:val="24"/>
          <w:szCs w:val="24"/>
        </w:rPr>
        <w:t xml:space="preserve"> One, 7</w:t>
      </w:r>
      <w:r w:rsidRPr="00345D63">
        <w:rPr>
          <w:rFonts w:ascii="Helvetica" w:eastAsia="Times New Roman" w:hAnsi="Helvetica" w:cs="Helvetica"/>
          <w:color w:val="2D3B45"/>
          <w:sz w:val="24"/>
          <w:szCs w:val="24"/>
        </w:rPr>
        <w:t xml:space="preserve">(4) </w:t>
      </w:r>
      <w:proofErr w:type="gramStart"/>
      <w:r w:rsidRPr="00345D63">
        <w:rPr>
          <w:rFonts w:ascii="Helvetica" w:eastAsia="Times New Roman" w:hAnsi="Helvetica" w:cs="Helvetica"/>
          <w:color w:val="2D3B45"/>
          <w:sz w:val="24"/>
          <w:szCs w:val="24"/>
        </w:rPr>
        <w:t>doi:http://dx.doi.org.proxy-library.ashford.edu/10.1371/journal.pone.0034104</w:t>
      </w:r>
      <w:proofErr w:type="gramEnd"/>
    </w:p>
    <w:p w14:paraId="67B64BE2" w14:textId="77777777" w:rsidR="00345D63" w:rsidRPr="00345D63" w:rsidRDefault="00345D63" w:rsidP="00345D63">
      <w:pPr>
        <w:shd w:val="clear" w:color="auto" w:fill="FFFFFF"/>
        <w:spacing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 </w:t>
      </w:r>
    </w:p>
    <w:p w14:paraId="578A0A92" w14:textId="77777777" w:rsidR="00345D63" w:rsidRPr="00345D63" w:rsidRDefault="00345D63" w:rsidP="00345D63">
      <w:pPr>
        <w:shd w:val="clear" w:color="auto" w:fill="FFFFFF"/>
        <w:spacing w:after="0" w:line="240" w:lineRule="auto"/>
        <w:rPr>
          <w:rFonts w:ascii="Helvetica" w:eastAsia="Times New Roman" w:hAnsi="Helvetica" w:cs="Helvetica"/>
          <w:color w:val="2D3B45"/>
          <w:sz w:val="24"/>
          <w:szCs w:val="24"/>
        </w:rPr>
      </w:pPr>
      <w:r w:rsidRPr="00345D63">
        <w:rPr>
          <w:rFonts w:ascii="Helvetica" w:eastAsia="Times New Roman" w:hAnsi="Helvetica" w:cs="Helvetica"/>
          <w:color w:val="2D3B45"/>
          <w:sz w:val="24"/>
          <w:szCs w:val="24"/>
        </w:rPr>
        <w:t>Stratton, S. J. (2019). Data sampling strategies for disaster and emergency health research.</w:t>
      </w:r>
      <w:r w:rsidRPr="00345D63">
        <w:rPr>
          <w:rFonts w:ascii="Helvetica" w:eastAsia="Times New Roman" w:hAnsi="Helvetica" w:cs="Helvetica"/>
          <w:i/>
          <w:iCs/>
          <w:color w:val="2D3B45"/>
          <w:sz w:val="24"/>
          <w:szCs w:val="24"/>
        </w:rPr>
        <w:t> Prehospital and Disaster Medicine, 34</w:t>
      </w:r>
      <w:r w:rsidRPr="00345D63">
        <w:rPr>
          <w:rFonts w:ascii="Helvetica" w:eastAsia="Times New Roman" w:hAnsi="Helvetica" w:cs="Helvetica"/>
          <w:color w:val="2D3B45"/>
          <w:sz w:val="24"/>
          <w:szCs w:val="24"/>
        </w:rPr>
        <w:t xml:space="preserve">(3), 227-229. </w:t>
      </w:r>
      <w:proofErr w:type="gramStart"/>
      <w:r w:rsidRPr="00345D63">
        <w:rPr>
          <w:rFonts w:ascii="Helvetica" w:eastAsia="Times New Roman" w:hAnsi="Helvetica" w:cs="Helvetica"/>
          <w:color w:val="2D3B45"/>
          <w:sz w:val="24"/>
          <w:szCs w:val="24"/>
        </w:rPr>
        <w:t>doi:http://dx.doi.org.proxy-library.ashford.edu/10.1017/S1049023X19004412</w:t>
      </w:r>
      <w:proofErr w:type="gramEnd"/>
    </w:p>
    <w:p w14:paraId="026AD144" w14:textId="77777777" w:rsidR="00345D63" w:rsidRDefault="00345D63"/>
    <w:sectPr w:rsidR="0034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63"/>
    <w:rsid w:val="00345D63"/>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E63DF"/>
  <w15:chartTrackingRefBased/>
  <w15:docId w15:val="{71587E5F-C498-4107-A9D5-28E43B3D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44605">
      <w:bodyDiv w:val="1"/>
      <w:marLeft w:val="0"/>
      <w:marRight w:val="0"/>
      <w:marTop w:val="0"/>
      <w:marBottom w:val="0"/>
      <w:divBdr>
        <w:top w:val="none" w:sz="0" w:space="0" w:color="auto"/>
        <w:left w:val="none" w:sz="0" w:space="0" w:color="auto"/>
        <w:bottom w:val="none" w:sz="0" w:space="0" w:color="auto"/>
        <w:right w:val="none" w:sz="0" w:space="0" w:color="auto"/>
      </w:divBdr>
      <w:divsChild>
        <w:div w:id="1622421309">
          <w:marLeft w:val="0"/>
          <w:marRight w:val="0"/>
          <w:marTop w:val="0"/>
          <w:marBottom w:val="0"/>
          <w:divBdr>
            <w:top w:val="none" w:sz="0" w:space="0" w:color="auto"/>
            <w:left w:val="none" w:sz="0" w:space="0" w:color="auto"/>
            <w:bottom w:val="none" w:sz="0" w:space="0" w:color="auto"/>
            <w:right w:val="none" w:sz="0" w:space="0" w:color="auto"/>
          </w:divBdr>
          <w:divsChild>
            <w:div w:id="388922281">
              <w:marLeft w:val="0"/>
              <w:marRight w:val="0"/>
              <w:marTop w:val="0"/>
              <w:marBottom w:val="0"/>
              <w:divBdr>
                <w:top w:val="none" w:sz="0" w:space="0" w:color="auto"/>
                <w:left w:val="none" w:sz="0" w:space="0" w:color="auto"/>
                <w:bottom w:val="none" w:sz="0" w:space="0" w:color="auto"/>
                <w:right w:val="none" w:sz="0" w:space="0" w:color="auto"/>
              </w:divBdr>
              <w:divsChild>
                <w:div w:id="1501584818">
                  <w:marLeft w:val="0"/>
                  <w:marRight w:val="0"/>
                  <w:marTop w:val="0"/>
                  <w:marBottom w:val="0"/>
                  <w:divBdr>
                    <w:top w:val="none" w:sz="0" w:space="0" w:color="auto"/>
                    <w:left w:val="none" w:sz="0" w:space="0" w:color="auto"/>
                    <w:bottom w:val="none" w:sz="0" w:space="0" w:color="auto"/>
                    <w:right w:val="none" w:sz="0" w:space="0" w:color="auto"/>
                  </w:divBdr>
                </w:div>
              </w:divsChild>
            </w:div>
            <w:div w:id="806430772">
              <w:marLeft w:val="0"/>
              <w:marRight w:val="0"/>
              <w:marTop w:val="0"/>
              <w:marBottom w:val="0"/>
              <w:divBdr>
                <w:top w:val="none" w:sz="0" w:space="0" w:color="auto"/>
                <w:left w:val="none" w:sz="0" w:space="0" w:color="auto"/>
                <w:bottom w:val="none" w:sz="0" w:space="0" w:color="auto"/>
                <w:right w:val="none" w:sz="0" w:space="0" w:color="auto"/>
              </w:divBdr>
            </w:div>
          </w:divsChild>
        </w:div>
        <w:div w:id="1051463734">
          <w:marLeft w:val="0"/>
          <w:marRight w:val="0"/>
          <w:marTop w:val="0"/>
          <w:marBottom w:val="0"/>
          <w:divBdr>
            <w:top w:val="none" w:sz="0" w:space="0" w:color="auto"/>
            <w:left w:val="none" w:sz="0" w:space="0" w:color="auto"/>
            <w:bottom w:val="none" w:sz="0" w:space="0" w:color="auto"/>
            <w:right w:val="none" w:sz="0" w:space="0" w:color="auto"/>
          </w:divBdr>
        </w:div>
      </w:divsChild>
    </w:div>
    <w:div w:id="134879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2/aur.2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5871</Characters>
  <Application>Microsoft Office Word</Application>
  <DocSecurity>0</DocSecurity>
  <Lines>48</Lines>
  <Paragraphs>13</Paragraphs>
  <ScaleCrop>false</ScaleCrop>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2020-10-09T13:26:00Z</dcterms:created>
  <dcterms:modified xsi:type="dcterms:W3CDTF">2020-10-09T13:27:00Z</dcterms:modified>
</cp:coreProperties>
</file>