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188A" w14:textId="77777777" w:rsid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MELANIE</w:t>
      </w:r>
    </w:p>
    <w:p w14:paraId="1F7954B6" w14:textId="0F9B6771"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xml:space="preserve">To test our student's Schedule C tax knowledge after completing the tax class, the individual must complete a certification test.  The following six questions are a small example of some Schedule C tax knowledge test questions.  When writing the test questions out, the person preparing the test must be knowledgeable in the topic.  Multiple choice or True/False answer options fall into the objective test question </w:t>
      </w:r>
      <w:proofErr w:type="gramStart"/>
      <w:r w:rsidRPr="00865E0A">
        <w:rPr>
          <w:rFonts w:ascii="Helvetica" w:eastAsia="Times New Roman" w:hAnsi="Helvetica" w:cs="Helvetica"/>
          <w:color w:val="3D494C"/>
          <w:sz w:val="24"/>
          <w:szCs w:val="24"/>
        </w:rPr>
        <w:t>category  (</w:t>
      </w:r>
      <w:proofErr w:type="gramEnd"/>
      <w:r w:rsidRPr="00865E0A">
        <w:rPr>
          <w:rFonts w:ascii="Helvetica" w:eastAsia="Times New Roman" w:hAnsi="Helvetica" w:cs="Helvetica"/>
          <w:color w:val="3D494C"/>
          <w:sz w:val="24"/>
          <w:szCs w:val="24"/>
        </w:rPr>
        <w:t>Rice, 2005).</w:t>
      </w:r>
    </w:p>
    <w:p w14:paraId="0CB386D0"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Several steps must be considered when developing any type of assessment for knowledge testing.  The most significant step is first to determine the purpose of the test (Diem, 2002).  The following six sample questions are to test the knowledge of the tax class students to ensure that the student has learned the necessary items that will allow them to prepare Schedule C tax returns.  The tax instructor could give a pre-test to each student before the tax class, letting the instructor know where each student starting knowledge base falls then compare with the after-class knowledge.</w:t>
      </w:r>
    </w:p>
    <w:p w14:paraId="5E4791FB"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Schedule C Tax Preparation Assessment Test</w:t>
      </w:r>
    </w:p>
    <w:p w14:paraId="7AB841C4" w14:textId="77777777" w:rsidR="00865E0A" w:rsidRPr="00865E0A" w:rsidRDefault="00865E0A" w:rsidP="00865E0A">
      <w:pPr>
        <w:numPr>
          <w:ilvl w:val="0"/>
          <w:numId w:val="1"/>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Non-employee compensation is reported on what form?</w:t>
      </w:r>
    </w:p>
    <w:p w14:paraId="09BFF883" w14:textId="77777777" w:rsidR="00865E0A" w:rsidRPr="00865E0A" w:rsidRDefault="00865E0A" w:rsidP="00865E0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1098</w:t>
      </w:r>
    </w:p>
    <w:p w14:paraId="24AD7A41" w14:textId="77777777" w:rsidR="00865E0A" w:rsidRPr="00865E0A" w:rsidRDefault="00865E0A" w:rsidP="00865E0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1099-NEC</w:t>
      </w:r>
    </w:p>
    <w:p w14:paraId="2E37E016" w14:textId="77777777" w:rsidR="00865E0A" w:rsidRPr="00865E0A" w:rsidRDefault="00865E0A" w:rsidP="00865E0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W-2</w:t>
      </w:r>
    </w:p>
    <w:p w14:paraId="309C88FB" w14:textId="77777777" w:rsidR="00865E0A" w:rsidRPr="00865E0A" w:rsidRDefault="00865E0A" w:rsidP="00865E0A">
      <w:pPr>
        <w:numPr>
          <w:ilvl w:val="0"/>
          <w:numId w:val="2"/>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1099-G</w:t>
      </w:r>
    </w:p>
    <w:p w14:paraId="003FC8A0"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2A004186" w14:textId="77777777" w:rsidR="00865E0A" w:rsidRPr="00865E0A" w:rsidRDefault="00865E0A" w:rsidP="00865E0A">
      <w:pPr>
        <w:numPr>
          <w:ilvl w:val="0"/>
          <w:numId w:val="3"/>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A Taxpayer mows lawns on the weekends but during the week trims trees.  Can the income from both jobs be combined on one schedule C?</w:t>
      </w:r>
    </w:p>
    <w:p w14:paraId="66DE6947" w14:textId="77777777" w:rsidR="00865E0A" w:rsidRPr="00865E0A" w:rsidRDefault="00865E0A" w:rsidP="00865E0A">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True</w:t>
      </w:r>
    </w:p>
    <w:p w14:paraId="7D79A879" w14:textId="77777777" w:rsidR="00865E0A" w:rsidRPr="00865E0A" w:rsidRDefault="00865E0A" w:rsidP="00865E0A">
      <w:pPr>
        <w:numPr>
          <w:ilvl w:val="0"/>
          <w:numId w:val="4"/>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False</w:t>
      </w:r>
    </w:p>
    <w:p w14:paraId="3F412870"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41B91B8B" w14:textId="77777777" w:rsidR="00865E0A" w:rsidRPr="00865E0A" w:rsidRDefault="00865E0A" w:rsidP="00865E0A">
      <w:pPr>
        <w:numPr>
          <w:ilvl w:val="0"/>
          <w:numId w:val="5"/>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A self-employed taxpayer's business donates money to a local charity.  Where does is the deduction shown on the tax return?</w:t>
      </w:r>
    </w:p>
    <w:p w14:paraId="75626894" w14:textId="77777777" w:rsidR="00865E0A" w:rsidRPr="00865E0A" w:rsidRDefault="00865E0A" w:rsidP="00865E0A">
      <w:pPr>
        <w:numPr>
          <w:ilvl w:val="0"/>
          <w:numId w:val="6"/>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Schedule C</w:t>
      </w:r>
    </w:p>
    <w:p w14:paraId="5B52E1BC" w14:textId="77777777" w:rsidR="00865E0A" w:rsidRPr="00865E0A" w:rsidRDefault="00865E0A" w:rsidP="00865E0A">
      <w:pPr>
        <w:numPr>
          <w:ilvl w:val="0"/>
          <w:numId w:val="6"/>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Schedule D</w:t>
      </w:r>
    </w:p>
    <w:p w14:paraId="15AADFC3" w14:textId="77777777" w:rsidR="00865E0A" w:rsidRPr="00865E0A" w:rsidRDefault="00865E0A" w:rsidP="00865E0A">
      <w:pPr>
        <w:numPr>
          <w:ilvl w:val="0"/>
          <w:numId w:val="6"/>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Schedule A</w:t>
      </w:r>
    </w:p>
    <w:p w14:paraId="5756F5FC" w14:textId="77777777" w:rsidR="00865E0A" w:rsidRPr="00865E0A" w:rsidRDefault="00865E0A" w:rsidP="00865E0A">
      <w:pPr>
        <w:numPr>
          <w:ilvl w:val="0"/>
          <w:numId w:val="6"/>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It cannot be deducted</w:t>
      </w:r>
    </w:p>
    <w:p w14:paraId="3E279C97"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10AF10BE" w14:textId="77777777" w:rsidR="00865E0A" w:rsidRPr="00865E0A" w:rsidRDefault="00865E0A" w:rsidP="00865E0A">
      <w:pPr>
        <w:numPr>
          <w:ilvl w:val="0"/>
          <w:numId w:val="7"/>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What is the accounting method called when your revenue is recognized when you receive it, and expenses are recognized when you pay them?</w:t>
      </w:r>
    </w:p>
    <w:p w14:paraId="2722123B" w14:textId="77777777" w:rsidR="00865E0A" w:rsidRPr="00865E0A" w:rsidRDefault="00865E0A" w:rsidP="00865E0A">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lastRenderedPageBreak/>
        <w:t>Accrual</w:t>
      </w:r>
    </w:p>
    <w:p w14:paraId="612226AA" w14:textId="77777777" w:rsidR="00865E0A" w:rsidRPr="00865E0A" w:rsidRDefault="00865E0A" w:rsidP="00865E0A">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Cash</w:t>
      </w:r>
    </w:p>
    <w:p w14:paraId="763241AA" w14:textId="77777777" w:rsidR="00865E0A" w:rsidRPr="00865E0A" w:rsidRDefault="00865E0A" w:rsidP="00865E0A">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Managerial</w:t>
      </w:r>
    </w:p>
    <w:p w14:paraId="010E04E8" w14:textId="77777777" w:rsidR="00865E0A" w:rsidRPr="00865E0A" w:rsidRDefault="00865E0A" w:rsidP="00865E0A">
      <w:pPr>
        <w:numPr>
          <w:ilvl w:val="0"/>
          <w:numId w:val="8"/>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Forensic</w:t>
      </w:r>
    </w:p>
    <w:p w14:paraId="11DEEC5C"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301E421E" w14:textId="77777777" w:rsidR="00865E0A" w:rsidRPr="00865E0A" w:rsidRDefault="00865E0A" w:rsidP="00865E0A">
      <w:pPr>
        <w:numPr>
          <w:ilvl w:val="0"/>
          <w:numId w:val="9"/>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If a taxpayer works as an employee all year long but sells Christmas stockings at craft fairs, do they need to claim their income on Schedule C and deduct expenses on Schedule A?</w:t>
      </w:r>
    </w:p>
    <w:p w14:paraId="13DB3CD3" w14:textId="77777777" w:rsidR="00865E0A" w:rsidRPr="00865E0A" w:rsidRDefault="00865E0A" w:rsidP="00865E0A">
      <w:pPr>
        <w:numPr>
          <w:ilvl w:val="0"/>
          <w:numId w:val="10"/>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True</w:t>
      </w:r>
    </w:p>
    <w:p w14:paraId="5CB92429" w14:textId="77777777" w:rsidR="00865E0A" w:rsidRPr="00865E0A" w:rsidRDefault="00865E0A" w:rsidP="00865E0A">
      <w:pPr>
        <w:numPr>
          <w:ilvl w:val="0"/>
          <w:numId w:val="10"/>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False</w:t>
      </w:r>
    </w:p>
    <w:p w14:paraId="45AD0F40"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1B2EDE06" w14:textId="77777777" w:rsidR="00865E0A" w:rsidRPr="00865E0A" w:rsidRDefault="00865E0A" w:rsidP="00865E0A">
      <w:pPr>
        <w:numPr>
          <w:ilvl w:val="0"/>
          <w:numId w:val="1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When does a self-employed individual have to file a Schedule SE?</w:t>
      </w:r>
    </w:p>
    <w:p w14:paraId="70084280" w14:textId="77777777" w:rsidR="00865E0A" w:rsidRPr="00865E0A" w:rsidRDefault="00865E0A" w:rsidP="00865E0A">
      <w:pPr>
        <w:numPr>
          <w:ilvl w:val="0"/>
          <w:numId w:val="1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Never</w:t>
      </w:r>
    </w:p>
    <w:p w14:paraId="07EC1CCB" w14:textId="77777777" w:rsidR="00865E0A" w:rsidRPr="00865E0A" w:rsidRDefault="00865E0A" w:rsidP="00865E0A">
      <w:pPr>
        <w:numPr>
          <w:ilvl w:val="0"/>
          <w:numId w:val="1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Over $1000</w:t>
      </w:r>
    </w:p>
    <w:p w14:paraId="081947A1" w14:textId="77777777" w:rsidR="00865E0A" w:rsidRPr="00865E0A" w:rsidRDefault="00865E0A" w:rsidP="00865E0A">
      <w:pPr>
        <w:numPr>
          <w:ilvl w:val="0"/>
          <w:numId w:val="1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$400 or more</w:t>
      </w:r>
    </w:p>
    <w:p w14:paraId="4CDDA196" w14:textId="77777777" w:rsidR="00865E0A" w:rsidRPr="00865E0A" w:rsidRDefault="00865E0A" w:rsidP="00865E0A">
      <w:pPr>
        <w:numPr>
          <w:ilvl w:val="0"/>
          <w:numId w:val="11"/>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Always</w:t>
      </w:r>
    </w:p>
    <w:p w14:paraId="6D8CD6E0" w14:textId="77777777" w:rsidR="00865E0A" w:rsidRPr="00865E0A" w:rsidRDefault="00865E0A" w:rsidP="00865E0A">
      <w:pPr>
        <w:shd w:val="clear" w:color="auto" w:fill="FFFFFF"/>
        <w:spacing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Diem, K. G. (2002). </w:t>
      </w:r>
      <w:r w:rsidRPr="00865E0A">
        <w:rPr>
          <w:rFonts w:ascii="Helvetica" w:eastAsia="Times New Roman" w:hAnsi="Helvetica" w:cs="Helvetica"/>
          <w:i/>
          <w:iCs/>
          <w:color w:val="3D494C"/>
          <w:sz w:val="24"/>
          <w:szCs w:val="24"/>
        </w:rPr>
        <w:t>A step-by-step guide to developing effective questionnaires and survey procedures for program evaluation &amp; research </w:t>
      </w:r>
      <w:hyperlink r:id="rId5" w:tgtFrame="_blank" w:history="1">
        <w:r w:rsidRPr="00865E0A">
          <w:rPr>
            <w:rFonts w:ascii="Helvetica" w:eastAsia="Times New Roman" w:hAnsi="Helvetica" w:cs="Helvetica"/>
            <w:color w:val="0000FF"/>
            <w:sz w:val="24"/>
            <w:szCs w:val="24"/>
            <w:u w:val="single"/>
          </w:rPr>
          <w:t>http://njaes.rutgers.edu/pubs/publication.asp?pid=FS995</w:t>
        </w:r>
        <w:r w:rsidRPr="00865E0A">
          <w:rPr>
            <w:rFonts w:ascii="Helvetica" w:eastAsia="Times New Roman" w:hAnsi="Helvetica" w:cs="Helvetica"/>
            <w:color w:val="0000FF"/>
            <w:sz w:val="24"/>
            <w:szCs w:val="24"/>
            <w:u w:val="single"/>
            <w:bdr w:val="none" w:sz="0" w:space="0" w:color="auto" w:frame="1"/>
          </w:rPr>
          <w:t> (Links to an external site.)</w:t>
        </w:r>
      </w:hyperlink>
    </w:p>
    <w:p w14:paraId="4F1C31FB"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Rice, G. T. (2005). Developing high-quality multiple choice. </w:t>
      </w:r>
      <w:r w:rsidRPr="00865E0A">
        <w:rPr>
          <w:rFonts w:ascii="Helvetica" w:eastAsia="Times New Roman" w:hAnsi="Helvetica" w:cs="Helvetica"/>
          <w:i/>
          <w:iCs/>
          <w:color w:val="3D494C"/>
          <w:sz w:val="24"/>
          <w:szCs w:val="24"/>
        </w:rPr>
        <w:t>Journal of Adventist Education, 67</w:t>
      </w:r>
      <w:r w:rsidRPr="00865E0A">
        <w:rPr>
          <w:rFonts w:ascii="Helvetica" w:eastAsia="Times New Roman" w:hAnsi="Helvetica" w:cs="Helvetica"/>
          <w:color w:val="3D494C"/>
          <w:sz w:val="24"/>
          <w:szCs w:val="24"/>
        </w:rPr>
        <w:t>(4), 30-35. Retrieved from http://circle.adventist.org/files/jae/en/jae200567043006.pdf</w:t>
      </w:r>
    </w:p>
    <w:p w14:paraId="6AE2DC48" w14:textId="31A652B5" w:rsidR="00822469" w:rsidRDefault="00822469"/>
    <w:p w14:paraId="54BFA4CC" w14:textId="0201C9DD" w:rsidR="00865E0A" w:rsidRDefault="00865E0A">
      <w:pPr>
        <w:rPr>
          <w:sz w:val="32"/>
          <w:szCs w:val="32"/>
        </w:rPr>
      </w:pPr>
      <w:r w:rsidRPr="00865E0A">
        <w:rPr>
          <w:sz w:val="32"/>
          <w:szCs w:val="32"/>
        </w:rPr>
        <w:t>ERICA</w:t>
      </w:r>
    </w:p>
    <w:p w14:paraId="3207AF93"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Making decisions is a part of our daily life. As time has evolved, so has the way we conduct educational and psychological evaluations and measurements to help make informed decisions about individuals or groups (Thorndike et al., 2009). When deciding upon what form of test to administer, you should consider what you're trying to achieve, essentially the end game. Consider your audience (Diem, 2002). Establishing who is going to benefit from your research will also help with figuring out what to ask. Also, I have learned the placement of words on a test can make such a big difference. Incorrect grammar is confusing and reflects a poor model to administer to others (McCowan, 1999). I've learned from a previous class using descriptive words also makes a difference when creating the questions. With the help and guidance of our selected reading, I have formulated a questionnaire on knowledge of leadership skills. They can select the answer they believe to be correct. </w:t>
      </w:r>
    </w:p>
    <w:p w14:paraId="6BE765C7"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27387928"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lastRenderedPageBreak/>
        <w:t>1. Good leaders have very strong _____?</w:t>
      </w:r>
    </w:p>
    <w:p w14:paraId="3C8CC2BB"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 Critical Thinking Skills</w:t>
      </w:r>
      <w:r w:rsidRPr="00865E0A">
        <w:rPr>
          <w:rFonts w:ascii="Helvetica" w:eastAsia="Times New Roman" w:hAnsi="Helvetica" w:cs="Helvetica"/>
          <w:color w:val="3D494C"/>
          <w:sz w:val="24"/>
          <w:szCs w:val="24"/>
        </w:rPr>
        <w:br/>
        <w:t>b. Poor Communication</w:t>
      </w:r>
      <w:r w:rsidRPr="00865E0A">
        <w:rPr>
          <w:rFonts w:ascii="Helvetica" w:eastAsia="Times New Roman" w:hAnsi="Helvetica" w:cs="Helvetica"/>
          <w:color w:val="3D494C"/>
          <w:sz w:val="24"/>
          <w:szCs w:val="24"/>
        </w:rPr>
        <w:br/>
        <w:t xml:space="preserve">c. </w:t>
      </w:r>
      <w:proofErr w:type="gramStart"/>
      <w:r w:rsidRPr="00865E0A">
        <w:rPr>
          <w:rFonts w:ascii="Helvetica" w:eastAsia="Times New Roman" w:hAnsi="Helvetica" w:cs="Helvetica"/>
          <w:color w:val="3D494C"/>
          <w:sz w:val="24"/>
          <w:szCs w:val="24"/>
        </w:rPr>
        <w:t>Non-Authority</w:t>
      </w:r>
      <w:proofErr w:type="gramEnd"/>
      <w:r w:rsidRPr="00865E0A">
        <w:rPr>
          <w:rFonts w:ascii="Helvetica" w:eastAsia="Times New Roman" w:hAnsi="Helvetica" w:cs="Helvetica"/>
          <w:color w:val="3D494C"/>
          <w:sz w:val="24"/>
          <w:szCs w:val="24"/>
        </w:rPr>
        <w:br/>
        <w:t>d. Lack of Accountability</w:t>
      </w:r>
    </w:p>
    <w:p w14:paraId="7F17598B"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3DD332FD"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2. An effective Leader is able to problem-solve?</w:t>
      </w:r>
    </w:p>
    <w:p w14:paraId="6A57F9BC"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 True</w:t>
      </w:r>
      <w:r w:rsidRPr="00865E0A">
        <w:rPr>
          <w:rFonts w:ascii="Helvetica" w:eastAsia="Times New Roman" w:hAnsi="Helvetica" w:cs="Helvetica"/>
          <w:color w:val="3D494C"/>
          <w:sz w:val="24"/>
          <w:szCs w:val="24"/>
        </w:rPr>
        <w:br/>
        <w:t>b. False</w:t>
      </w:r>
    </w:p>
    <w:p w14:paraId="4C149BBB"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br/>
        <w:t>3. _____ states clearly what the goals everyone should be working towards?</w:t>
      </w:r>
    </w:p>
    <w:p w14:paraId="4DA72721"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 Customer</w:t>
      </w:r>
      <w:r w:rsidRPr="00865E0A">
        <w:rPr>
          <w:rFonts w:ascii="Helvetica" w:eastAsia="Times New Roman" w:hAnsi="Helvetica" w:cs="Helvetica"/>
          <w:color w:val="3D494C"/>
          <w:sz w:val="24"/>
          <w:szCs w:val="24"/>
        </w:rPr>
        <w:br/>
        <w:t>b. Management</w:t>
      </w:r>
      <w:r w:rsidRPr="00865E0A">
        <w:rPr>
          <w:rFonts w:ascii="Helvetica" w:eastAsia="Times New Roman" w:hAnsi="Helvetica" w:cs="Helvetica"/>
          <w:color w:val="3D494C"/>
          <w:sz w:val="24"/>
          <w:szCs w:val="24"/>
        </w:rPr>
        <w:br/>
        <w:t>c. Employee</w:t>
      </w:r>
      <w:r w:rsidRPr="00865E0A">
        <w:rPr>
          <w:rFonts w:ascii="Helvetica" w:eastAsia="Times New Roman" w:hAnsi="Helvetica" w:cs="Helvetica"/>
          <w:color w:val="3D494C"/>
          <w:sz w:val="24"/>
          <w:szCs w:val="24"/>
        </w:rPr>
        <w:br/>
        <w:t>d. Unknown</w:t>
      </w:r>
    </w:p>
    <w:p w14:paraId="209500CC"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0F4C437E"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4. Which is considered a poor leadership skill?</w:t>
      </w:r>
    </w:p>
    <w:p w14:paraId="7BC5E0C8"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 Overcoming Resistance</w:t>
      </w:r>
      <w:r w:rsidRPr="00865E0A">
        <w:rPr>
          <w:rFonts w:ascii="Helvetica" w:eastAsia="Times New Roman" w:hAnsi="Helvetica" w:cs="Helvetica"/>
          <w:color w:val="3D494C"/>
          <w:sz w:val="24"/>
          <w:szCs w:val="24"/>
        </w:rPr>
        <w:br/>
        <w:t>b. Communication Skills</w:t>
      </w:r>
      <w:r w:rsidRPr="00865E0A">
        <w:rPr>
          <w:rFonts w:ascii="Helvetica" w:eastAsia="Times New Roman" w:hAnsi="Helvetica" w:cs="Helvetica"/>
          <w:color w:val="3D494C"/>
          <w:sz w:val="24"/>
          <w:szCs w:val="24"/>
        </w:rPr>
        <w:br/>
        <w:t>c. No Adaptability</w:t>
      </w:r>
      <w:r w:rsidRPr="00865E0A">
        <w:rPr>
          <w:rFonts w:ascii="Helvetica" w:eastAsia="Times New Roman" w:hAnsi="Helvetica" w:cs="Helvetica"/>
          <w:color w:val="3D494C"/>
          <w:sz w:val="24"/>
          <w:szCs w:val="24"/>
        </w:rPr>
        <w:br/>
        <w:t>d. Problem - Solving</w:t>
      </w:r>
    </w:p>
    <w:p w14:paraId="714D58B5"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3F5101ED"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5. Which is a benefit of providing rewards to employees?</w:t>
      </w:r>
    </w:p>
    <w:p w14:paraId="21C3C9C6" w14:textId="77777777" w:rsidR="00865E0A" w:rsidRPr="00865E0A" w:rsidRDefault="00865E0A" w:rsidP="00865E0A">
      <w:pPr>
        <w:shd w:val="clear" w:color="auto" w:fill="FFFFFF"/>
        <w:spacing w:before="180"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a. Employee Engagement</w:t>
      </w:r>
      <w:r w:rsidRPr="00865E0A">
        <w:rPr>
          <w:rFonts w:ascii="Helvetica" w:eastAsia="Times New Roman" w:hAnsi="Helvetica" w:cs="Helvetica"/>
          <w:color w:val="3D494C"/>
          <w:sz w:val="24"/>
          <w:szCs w:val="24"/>
        </w:rPr>
        <w:br/>
        <w:t>b. Customer Complaint</w:t>
      </w:r>
      <w:r w:rsidRPr="00865E0A">
        <w:rPr>
          <w:rFonts w:ascii="Helvetica" w:eastAsia="Times New Roman" w:hAnsi="Helvetica" w:cs="Helvetica"/>
          <w:color w:val="3D494C"/>
          <w:sz w:val="24"/>
          <w:szCs w:val="24"/>
        </w:rPr>
        <w:br/>
        <w:t>c. Dishonesty</w:t>
      </w:r>
      <w:r w:rsidRPr="00865E0A">
        <w:rPr>
          <w:rFonts w:ascii="Helvetica" w:eastAsia="Times New Roman" w:hAnsi="Helvetica" w:cs="Helvetica"/>
          <w:color w:val="3D494C"/>
          <w:sz w:val="24"/>
          <w:szCs w:val="24"/>
        </w:rPr>
        <w:br/>
        <w:t>d. Minor Problems</w:t>
      </w:r>
    </w:p>
    <w:p w14:paraId="6F208140" w14:textId="77777777" w:rsidR="00865E0A" w:rsidRPr="00865E0A" w:rsidRDefault="00865E0A" w:rsidP="00865E0A">
      <w:pPr>
        <w:shd w:val="clear" w:color="auto" w:fill="FFFFFF"/>
        <w:spacing w:before="180" w:after="18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 </w:t>
      </w:r>
    </w:p>
    <w:p w14:paraId="4D0B69AA" w14:textId="77777777" w:rsidR="00865E0A" w:rsidRPr="00865E0A" w:rsidRDefault="00865E0A" w:rsidP="00865E0A">
      <w:pPr>
        <w:shd w:val="clear" w:color="auto" w:fill="FFFFFF"/>
        <w:spacing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Reference</w:t>
      </w:r>
    </w:p>
    <w:p w14:paraId="49E16A83" w14:textId="77777777" w:rsidR="00865E0A" w:rsidRPr="00865E0A" w:rsidRDefault="00865E0A" w:rsidP="00865E0A">
      <w:pPr>
        <w:shd w:val="clear" w:color="auto" w:fill="FFFFFF"/>
        <w:spacing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Diem, K. G. (2002). </w:t>
      </w:r>
      <w:hyperlink r:id="rId6" w:tgtFrame="_blank" w:tooltip="A step-by-step guide to developing effective questionnaires and survey procedures for program evaluation &amp; research" w:history="1">
        <w:r w:rsidRPr="00865E0A">
          <w:rPr>
            <w:rFonts w:ascii="Helvetica" w:eastAsia="Times New Roman" w:hAnsi="Helvetica" w:cs="Helvetica"/>
            <w:color w:val="0000FF"/>
            <w:sz w:val="24"/>
            <w:szCs w:val="24"/>
            <w:u w:val="single"/>
          </w:rPr>
          <w:t>A step-by-step guide to developing effective questionnaires and survey procedures for program evaluation &amp; research (Links to an external site.)</w:t>
        </w:r>
        <w:r w:rsidRPr="00865E0A">
          <w:rPr>
            <w:rFonts w:ascii="Helvetica" w:eastAsia="Times New Roman" w:hAnsi="Helvetica" w:cs="Helvetica"/>
            <w:color w:val="0000FF"/>
            <w:sz w:val="24"/>
            <w:szCs w:val="24"/>
            <w:u w:val="single"/>
            <w:bdr w:val="none" w:sz="0" w:space="0" w:color="auto" w:frame="1"/>
          </w:rPr>
          <w:t> (Links to an external site.)</w:t>
        </w:r>
      </w:hyperlink>
      <w:r w:rsidRPr="00865E0A">
        <w:rPr>
          <w:rFonts w:ascii="Helvetica" w:eastAsia="Times New Roman" w:hAnsi="Helvetica" w:cs="Helvetica"/>
          <w:color w:val="3D494C"/>
          <w:sz w:val="24"/>
          <w:szCs w:val="24"/>
        </w:rPr>
        <w:t>. Retrieved from http://njaes.rutgers.edu/pubs/publication.asp?pid=FS995</w:t>
      </w:r>
    </w:p>
    <w:p w14:paraId="67BFEF91" w14:textId="77777777" w:rsidR="00865E0A" w:rsidRPr="00865E0A" w:rsidRDefault="00865E0A" w:rsidP="00865E0A">
      <w:pPr>
        <w:shd w:val="clear" w:color="auto" w:fill="FFFFFF"/>
        <w:spacing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t>McCowan, R. J. (1999). </w:t>
      </w:r>
      <w:hyperlink r:id="rId7" w:tgtFrame="_blank" w:tooltip="Developing multiple choice tests: Tips and techniques" w:history="1">
        <w:r w:rsidRPr="00865E0A">
          <w:rPr>
            <w:rFonts w:ascii="Helvetica" w:eastAsia="Times New Roman" w:hAnsi="Helvetica" w:cs="Helvetica"/>
            <w:color w:val="0000FF"/>
            <w:sz w:val="24"/>
            <w:szCs w:val="24"/>
            <w:u w:val="single"/>
          </w:rPr>
          <w:t>Developing multiple choice tests: Tips and techniques (Links to an external site.)</w:t>
        </w:r>
        <w:r w:rsidRPr="00865E0A">
          <w:rPr>
            <w:rFonts w:ascii="Helvetica" w:eastAsia="Times New Roman" w:hAnsi="Helvetica" w:cs="Helvetica"/>
            <w:color w:val="0000FF"/>
            <w:sz w:val="24"/>
            <w:szCs w:val="24"/>
            <w:u w:val="single"/>
            <w:bdr w:val="none" w:sz="0" w:space="0" w:color="auto" w:frame="1"/>
          </w:rPr>
          <w:t> (Links to an external site.)</w:t>
        </w:r>
      </w:hyperlink>
      <w:r w:rsidRPr="00865E0A">
        <w:rPr>
          <w:rFonts w:ascii="Helvetica" w:eastAsia="Times New Roman" w:hAnsi="Helvetica" w:cs="Helvetica"/>
          <w:color w:val="3D494C"/>
          <w:sz w:val="24"/>
          <w:szCs w:val="24"/>
        </w:rPr>
        <w:t>. Retrieved from http://files.eric.ed.gov/fulltext/ED501714.pdf</w:t>
      </w:r>
    </w:p>
    <w:p w14:paraId="49566E8F" w14:textId="77777777" w:rsidR="00865E0A" w:rsidRPr="00865E0A" w:rsidRDefault="00865E0A" w:rsidP="00865E0A">
      <w:pPr>
        <w:shd w:val="clear" w:color="auto" w:fill="FFFFFF"/>
        <w:spacing w:after="0" w:line="240" w:lineRule="auto"/>
        <w:rPr>
          <w:rFonts w:ascii="Helvetica" w:eastAsia="Times New Roman" w:hAnsi="Helvetica" w:cs="Helvetica"/>
          <w:color w:val="3D494C"/>
          <w:sz w:val="24"/>
          <w:szCs w:val="24"/>
        </w:rPr>
      </w:pPr>
      <w:r w:rsidRPr="00865E0A">
        <w:rPr>
          <w:rFonts w:ascii="Helvetica" w:eastAsia="Times New Roman" w:hAnsi="Helvetica" w:cs="Helvetica"/>
          <w:color w:val="3D494C"/>
          <w:sz w:val="24"/>
          <w:szCs w:val="24"/>
        </w:rPr>
        <w:lastRenderedPageBreak/>
        <w:t>Thorndike, R. M., &amp; Thorndike-Christ, T. M. (2009). </w:t>
      </w:r>
      <w:hyperlink r:id="rId8" w:tgtFrame="_blank" w:tooltip="Measurement and evaluation in psychology and education" w:history="1">
        <w:r w:rsidRPr="00865E0A">
          <w:rPr>
            <w:rFonts w:ascii="Helvetica" w:eastAsia="Times New Roman" w:hAnsi="Helvetica" w:cs="Helvetica"/>
            <w:i/>
            <w:iCs/>
            <w:color w:val="0000FF"/>
            <w:sz w:val="24"/>
            <w:szCs w:val="24"/>
            <w:u w:val="single"/>
          </w:rPr>
          <w:t>Measurement and evaluation in psychology and education</w:t>
        </w:r>
      </w:hyperlink>
      <w:r w:rsidRPr="00865E0A">
        <w:rPr>
          <w:rFonts w:ascii="Helvetica" w:eastAsia="Times New Roman" w:hAnsi="Helvetica" w:cs="Helvetica"/>
          <w:color w:val="3D494C"/>
          <w:sz w:val="24"/>
          <w:szCs w:val="24"/>
        </w:rPr>
        <w:t> (8th ed.). Upper Saddle River, NJ: Prentice Hall.</w:t>
      </w:r>
    </w:p>
    <w:p w14:paraId="19A9D21E" w14:textId="77777777" w:rsidR="00865E0A" w:rsidRPr="00865E0A" w:rsidRDefault="00865E0A">
      <w:pPr>
        <w:rPr>
          <w:sz w:val="32"/>
          <w:szCs w:val="32"/>
        </w:rPr>
      </w:pPr>
    </w:p>
    <w:sectPr w:rsidR="00865E0A" w:rsidRPr="00865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1A8"/>
    <w:multiLevelType w:val="multilevel"/>
    <w:tmpl w:val="FF4A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97D18"/>
    <w:multiLevelType w:val="multilevel"/>
    <w:tmpl w:val="AD9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80AB0"/>
    <w:multiLevelType w:val="multilevel"/>
    <w:tmpl w:val="4A0E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60435"/>
    <w:multiLevelType w:val="multilevel"/>
    <w:tmpl w:val="1C42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A1D30"/>
    <w:multiLevelType w:val="multilevel"/>
    <w:tmpl w:val="C6BC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9605D"/>
    <w:multiLevelType w:val="multilevel"/>
    <w:tmpl w:val="41B8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B1E60"/>
    <w:multiLevelType w:val="multilevel"/>
    <w:tmpl w:val="E794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771B31"/>
    <w:multiLevelType w:val="multilevel"/>
    <w:tmpl w:val="C3AA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1136D"/>
    <w:multiLevelType w:val="multilevel"/>
    <w:tmpl w:val="FB2A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0B624A"/>
    <w:multiLevelType w:val="multilevel"/>
    <w:tmpl w:val="10E2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7A68C9"/>
    <w:multiLevelType w:val="multilevel"/>
    <w:tmpl w:val="5DE0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6"/>
  </w:num>
  <w:num w:numId="6">
    <w:abstractNumId w:val="7"/>
  </w:num>
  <w:num w:numId="7">
    <w:abstractNumId w:val="1"/>
  </w:num>
  <w:num w:numId="8">
    <w:abstractNumId w:val="1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A"/>
    <w:rsid w:val="00822469"/>
    <w:rsid w:val="0086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07EF"/>
  <w15:chartTrackingRefBased/>
  <w15:docId w15:val="{58BE8F2F-1850-477D-83A7-02A1207A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27084">
      <w:bodyDiv w:val="1"/>
      <w:marLeft w:val="0"/>
      <w:marRight w:val="0"/>
      <w:marTop w:val="0"/>
      <w:marBottom w:val="0"/>
      <w:divBdr>
        <w:top w:val="none" w:sz="0" w:space="0" w:color="auto"/>
        <w:left w:val="none" w:sz="0" w:space="0" w:color="auto"/>
        <w:bottom w:val="none" w:sz="0" w:space="0" w:color="auto"/>
        <w:right w:val="none" w:sz="0" w:space="0" w:color="auto"/>
      </w:divBdr>
    </w:div>
    <w:div w:id="16770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86511/external_tools/retrieve?display=borderless&amp;;url=https%3A%2F%2Fcontent.ashford.edu%2Flti%3Fbookcode%3DTHORNDIKE.8496.17.1" TargetMode="External"/><Relationship Id="rId3" Type="http://schemas.openxmlformats.org/officeDocument/2006/relationships/settings" Target="settings.xml"/><Relationship Id="rId7" Type="http://schemas.openxmlformats.org/officeDocument/2006/relationships/hyperlink" Target="http://files.eric.ed.gov/fulltext/ED5017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jaes.rutgers.edu/pubs/publication.asp?pid=FS995" TargetMode="External"/><Relationship Id="rId5" Type="http://schemas.openxmlformats.org/officeDocument/2006/relationships/hyperlink" Target="http://njaes.rutgers.edu/pubs/publication.asp?pid=FS9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2021-07-09T17:13:00Z</dcterms:created>
  <dcterms:modified xsi:type="dcterms:W3CDTF">2021-07-09T17:14:00Z</dcterms:modified>
</cp:coreProperties>
</file>