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CC9" w:rsidRDefault="000D4CC9" w:rsidP="00BB2E4F">
      <w:pPr>
        <w:pStyle w:val="Subtitle"/>
      </w:pPr>
    </w:p>
    <w:p w:rsidR="00567E9F" w:rsidRDefault="00567E9F" w:rsidP="00567E9F">
      <w:pPr>
        <w:spacing w:line="480" w:lineRule="auto"/>
        <w:jc w:val="center"/>
        <w:rPr>
          <w:rFonts w:ascii="Times New Roman" w:hAnsi="Times New Roman" w:cs="Times New Roman"/>
          <w:color w:val="000000" w:themeColor="text1"/>
          <w:sz w:val="24"/>
          <w:szCs w:val="24"/>
        </w:rPr>
      </w:pPr>
    </w:p>
    <w:p w:rsidR="00567E9F" w:rsidRDefault="00567E9F" w:rsidP="00567E9F">
      <w:pPr>
        <w:spacing w:line="480" w:lineRule="auto"/>
        <w:jc w:val="center"/>
        <w:rPr>
          <w:rFonts w:ascii="Times New Roman" w:hAnsi="Times New Roman" w:cs="Times New Roman"/>
          <w:color w:val="000000" w:themeColor="text1"/>
          <w:sz w:val="24"/>
          <w:szCs w:val="24"/>
        </w:rPr>
      </w:pPr>
    </w:p>
    <w:p w:rsidR="00567E9F" w:rsidRDefault="00567E9F" w:rsidP="00567E9F">
      <w:pPr>
        <w:spacing w:line="480" w:lineRule="auto"/>
        <w:jc w:val="center"/>
        <w:rPr>
          <w:rFonts w:ascii="Times New Roman" w:hAnsi="Times New Roman" w:cs="Times New Roman"/>
          <w:color w:val="000000" w:themeColor="text1"/>
          <w:sz w:val="24"/>
          <w:szCs w:val="24"/>
        </w:rPr>
      </w:pPr>
    </w:p>
    <w:p w:rsidR="00567E9F" w:rsidRDefault="00567E9F" w:rsidP="00567E9F">
      <w:pPr>
        <w:spacing w:line="480" w:lineRule="auto"/>
        <w:jc w:val="center"/>
        <w:rPr>
          <w:rFonts w:ascii="Times New Roman" w:hAnsi="Times New Roman" w:cs="Times New Roman"/>
          <w:color w:val="000000" w:themeColor="text1"/>
          <w:sz w:val="24"/>
          <w:szCs w:val="24"/>
        </w:rPr>
      </w:pPr>
    </w:p>
    <w:p w:rsidR="00567E9F" w:rsidRDefault="00567E9F" w:rsidP="00567E9F">
      <w:pPr>
        <w:spacing w:line="480" w:lineRule="auto"/>
        <w:jc w:val="center"/>
        <w:rPr>
          <w:rFonts w:ascii="Times New Roman" w:hAnsi="Times New Roman" w:cs="Times New Roman"/>
          <w:color w:val="000000" w:themeColor="text1"/>
          <w:sz w:val="24"/>
          <w:szCs w:val="24"/>
        </w:rPr>
      </w:pPr>
    </w:p>
    <w:p w:rsidR="00567E9F" w:rsidRDefault="00567E9F" w:rsidP="00567E9F">
      <w:pPr>
        <w:spacing w:line="480" w:lineRule="auto"/>
        <w:jc w:val="center"/>
        <w:rPr>
          <w:rFonts w:ascii="Times New Roman" w:hAnsi="Times New Roman" w:cs="Times New Roman"/>
          <w:color w:val="000000" w:themeColor="text1"/>
          <w:sz w:val="24"/>
          <w:szCs w:val="24"/>
        </w:rPr>
      </w:pPr>
    </w:p>
    <w:p w:rsidR="00567E9F" w:rsidRPr="00567E9F" w:rsidRDefault="00567E9F" w:rsidP="00567E9F">
      <w:pPr>
        <w:spacing w:line="480" w:lineRule="auto"/>
        <w:jc w:val="center"/>
        <w:rPr>
          <w:rFonts w:ascii="Times New Roman" w:hAnsi="Times New Roman" w:cs="Times New Roman"/>
          <w:sz w:val="24"/>
          <w:szCs w:val="24"/>
        </w:rPr>
      </w:pPr>
      <w:r w:rsidRPr="00567E9F">
        <w:rPr>
          <w:rFonts w:ascii="Times New Roman" w:hAnsi="Times New Roman" w:cs="Times New Roman"/>
          <w:sz w:val="24"/>
          <w:szCs w:val="24"/>
        </w:rPr>
        <w:t>Control of gun violence in Canada</w:t>
      </w:r>
    </w:p>
    <w:p w:rsidR="00567E9F" w:rsidRPr="00567E9F" w:rsidRDefault="00567E9F" w:rsidP="00567E9F">
      <w:pPr>
        <w:spacing w:line="480" w:lineRule="auto"/>
        <w:jc w:val="center"/>
        <w:rPr>
          <w:rFonts w:ascii="Times New Roman" w:hAnsi="Times New Roman" w:cs="Times New Roman"/>
          <w:sz w:val="24"/>
          <w:szCs w:val="24"/>
        </w:rPr>
      </w:pPr>
      <w:r w:rsidRPr="00567E9F">
        <w:rPr>
          <w:rFonts w:ascii="Times New Roman" w:hAnsi="Times New Roman" w:cs="Times New Roman"/>
          <w:sz w:val="24"/>
          <w:szCs w:val="24"/>
        </w:rPr>
        <w:t>Name</w:t>
      </w:r>
    </w:p>
    <w:p w:rsidR="00567E9F" w:rsidRPr="00567E9F" w:rsidRDefault="00567E9F" w:rsidP="00567E9F">
      <w:pPr>
        <w:spacing w:line="480" w:lineRule="auto"/>
        <w:jc w:val="center"/>
        <w:rPr>
          <w:rFonts w:ascii="Times New Roman" w:hAnsi="Times New Roman" w:cs="Times New Roman"/>
          <w:sz w:val="24"/>
          <w:szCs w:val="24"/>
        </w:rPr>
      </w:pPr>
      <w:r w:rsidRPr="00567E9F">
        <w:rPr>
          <w:rFonts w:ascii="Times New Roman" w:hAnsi="Times New Roman" w:cs="Times New Roman"/>
          <w:sz w:val="24"/>
          <w:szCs w:val="24"/>
        </w:rPr>
        <w:t>Instructor</w:t>
      </w:r>
    </w:p>
    <w:p w:rsidR="00567E9F" w:rsidRPr="00567E9F" w:rsidRDefault="00567E9F" w:rsidP="00567E9F">
      <w:pPr>
        <w:spacing w:line="480" w:lineRule="auto"/>
        <w:jc w:val="center"/>
        <w:rPr>
          <w:rFonts w:ascii="Times New Roman" w:hAnsi="Times New Roman" w:cs="Times New Roman"/>
          <w:sz w:val="24"/>
          <w:szCs w:val="24"/>
        </w:rPr>
      </w:pPr>
      <w:r w:rsidRPr="00567E9F">
        <w:rPr>
          <w:rFonts w:ascii="Times New Roman" w:hAnsi="Times New Roman" w:cs="Times New Roman"/>
          <w:sz w:val="24"/>
          <w:szCs w:val="24"/>
        </w:rPr>
        <w:t>Course</w:t>
      </w:r>
    </w:p>
    <w:p w:rsidR="00567E9F" w:rsidRPr="00567E9F" w:rsidRDefault="00567E9F" w:rsidP="00567E9F">
      <w:pPr>
        <w:spacing w:line="480" w:lineRule="auto"/>
        <w:jc w:val="center"/>
        <w:rPr>
          <w:rFonts w:ascii="Times New Roman" w:hAnsi="Times New Roman" w:cs="Times New Roman"/>
          <w:sz w:val="24"/>
          <w:szCs w:val="24"/>
        </w:rPr>
      </w:pPr>
      <w:r w:rsidRPr="00567E9F">
        <w:rPr>
          <w:rFonts w:ascii="Times New Roman" w:hAnsi="Times New Roman" w:cs="Times New Roman"/>
          <w:sz w:val="24"/>
          <w:szCs w:val="24"/>
        </w:rPr>
        <w:t>Date</w:t>
      </w:r>
    </w:p>
    <w:p w:rsidR="00567E9F" w:rsidRDefault="00567E9F" w:rsidP="00567E9F">
      <w:pPr>
        <w:spacing w:line="480" w:lineRule="auto"/>
        <w:jc w:val="center"/>
        <w:rPr>
          <w:rFonts w:ascii="Times New Roman" w:hAnsi="Times New Roman" w:cs="Times New Roman"/>
          <w:color w:val="000000" w:themeColor="text1"/>
          <w:sz w:val="24"/>
          <w:szCs w:val="24"/>
        </w:rPr>
      </w:pPr>
    </w:p>
    <w:p w:rsidR="000D4CC9" w:rsidRDefault="000D4CC9" w:rsidP="000D4CC9">
      <w:pPr>
        <w:spacing w:line="480" w:lineRule="auto"/>
        <w:jc w:val="center"/>
        <w:rPr>
          <w:rFonts w:ascii="Times New Roman" w:hAnsi="Times New Roman" w:cs="Times New Roman"/>
          <w:color w:val="000000" w:themeColor="text1"/>
          <w:sz w:val="24"/>
          <w:szCs w:val="24"/>
        </w:rPr>
      </w:pPr>
    </w:p>
    <w:p w:rsidR="000D4CC9" w:rsidRDefault="000D4CC9" w:rsidP="000D4CC9">
      <w:pPr>
        <w:spacing w:line="480" w:lineRule="auto"/>
        <w:jc w:val="center"/>
        <w:rPr>
          <w:rFonts w:ascii="Times New Roman" w:hAnsi="Times New Roman" w:cs="Times New Roman"/>
          <w:color w:val="000000" w:themeColor="text1"/>
          <w:sz w:val="24"/>
          <w:szCs w:val="24"/>
        </w:rPr>
      </w:pPr>
    </w:p>
    <w:p w:rsidR="000D4CC9" w:rsidRDefault="000D4CC9" w:rsidP="000D4CC9">
      <w:pPr>
        <w:spacing w:line="480" w:lineRule="auto"/>
        <w:jc w:val="center"/>
        <w:rPr>
          <w:rFonts w:ascii="Times New Roman" w:hAnsi="Times New Roman" w:cs="Times New Roman"/>
          <w:color w:val="000000" w:themeColor="text1"/>
          <w:sz w:val="24"/>
          <w:szCs w:val="24"/>
        </w:rPr>
      </w:pPr>
    </w:p>
    <w:p w:rsidR="00567E9F" w:rsidRDefault="00567E9F" w:rsidP="000D4CC9">
      <w:pPr>
        <w:spacing w:line="480" w:lineRule="auto"/>
        <w:jc w:val="center"/>
        <w:rPr>
          <w:rFonts w:ascii="Times New Roman" w:hAnsi="Times New Roman" w:cs="Times New Roman"/>
          <w:color w:val="000000" w:themeColor="text1"/>
          <w:sz w:val="24"/>
          <w:szCs w:val="24"/>
        </w:rPr>
      </w:pPr>
    </w:p>
    <w:p w:rsidR="00567E9F" w:rsidRDefault="00567E9F" w:rsidP="000D4CC9">
      <w:pPr>
        <w:spacing w:line="480" w:lineRule="auto"/>
        <w:jc w:val="center"/>
        <w:rPr>
          <w:rFonts w:ascii="Times New Roman" w:hAnsi="Times New Roman" w:cs="Times New Roman"/>
          <w:color w:val="000000" w:themeColor="text1"/>
          <w:sz w:val="24"/>
          <w:szCs w:val="24"/>
        </w:rPr>
      </w:pPr>
    </w:p>
    <w:p w:rsidR="00EA50C6" w:rsidRPr="00862569" w:rsidRDefault="00EA50C6" w:rsidP="00567E9F">
      <w:pPr>
        <w:spacing w:line="480" w:lineRule="auto"/>
        <w:jc w:val="center"/>
        <w:rPr>
          <w:rFonts w:ascii="Times New Roman" w:hAnsi="Times New Roman" w:cs="Times New Roman"/>
          <w:color w:val="000000" w:themeColor="text1"/>
          <w:sz w:val="24"/>
          <w:szCs w:val="24"/>
        </w:rPr>
      </w:pPr>
      <w:bookmarkStart w:id="0" w:name="_Toc7824086"/>
      <w:r w:rsidRPr="00862569">
        <w:rPr>
          <w:rFonts w:ascii="Times New Roman" w:hAnsi="Times New Roman" w:cs="Times New Roman"/>
          <w:color w:val="000000" w:themeColor="text1"/>
          <w:sz w:val="24"/>
          <w:szCs w:val="24"/>
        </w:rPr>
        <w:lastRenderedPageBreak/>
        <w:t>Chapter One: Introduction</w:t>
      </w:r>
      <w:bookmarkEnd w:id="0"/>
    </w:p>
    <w:p w:rsidR="00EA50C6" w:rsidRPr="00862569" w:rsidRDefault="00EA50C6" w:rsidP="000D4CC9">
      <w:pPr>
        <w:spacing w:line="480" w:lineRule="auto"/>
        <w:rPr>
          <w:rFonts w:ascii="Times New Roman" w:hAnsi="Times New Roman" w:cs="Times New Roman"/>
          <w:color w:val="000000" w:themeColor="text1"/>
          <w:sz w:val="24"/>
          <w:szCs w:val="24"/>
        </w:rPr>
      </w:pPr>
      <w:bookmarkStart w:id="1" w:name="_Toc7824087"/>
      <w:r w:rsidRPr="00862569">
        <w:rPr>
          <w:rFonts w:ascii="Times New Roman" w:hAnsi="Times New Roman" w:cs="Times New Roman"/>
          <w:color w:val="000000" w:themeColor="text1"/>
          <w:sz w:val="24"/>
          <w:szCs w:val="24"/>
        </w:rPr>
        <w:t>1.0 Introduction</w:t>
      </w:r>
      <w:bookmarkEnd w:id="1"/>
    </w:p>
    <w:p w:rsidR="00EA50C6" w:rsidRPr="00862569" w:rsidRDefault="00EA50C6" w:rsidP="000D4CC9">
      <w:pPr>
        <w:spacing w:line="480" w:lineRule="auto"/>
        <w:ind w:firstLine="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 xml:space="preserve"> Tighter laws are tough to apply in Canada because the nation is facing increasing gun violence</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xml:space="preserve">. Growing gun violence has provoked calls for the federal government to stiffen the firearm regulations. However, more stringent laws have caused political backlashes in a nation where two million citizens are authorized to own guns. The Canadian rate of gun homicide of 0.61 per one-hundred thousand individuals is almost ten times higher than the </w:t>
      </w:r>
      <w:r w:rsidR="007F3D7B" w:rsidRPr="00862569">
        <w:rPr>
          <w:rFonts w:ascii="Times New Roman" w:hAnsi="Times New Roman" w:cs="Times New Roman"/>
          <w:color w:val="000000" w:themeColor="text1"/>
          <w:sz w:val="24"/>
          <w:szCs w:val="24"/>
        </w:rPr>
        <w:t>standard</w:t>
      </w:r>
      <w:r w:rsidRPr="00862569">
        <w:rPr>
          <w:rFonts w:ascii="Times New Roman" w:hAnsi="Times New Roman" w:cs="Times New Roman"/>
          <w:color w:val="000000" w:themeColor="text1"/>
          <w:sz w:val="24"/>
          <w:szCs w:val="24"/>
        </w:rPr>
        <w:t xml:space="preserve"> in the U.K. According to Statistics Canada, two hundred and twenty (223) individuals were killed with a firearm in 2016, a 23% increase from 2015.</w:t>
      </w:r>
      <w:r w:rsidR="00527F1D">
        <w:rPr>
          <w:rFonts w:ascii="Times New Roman" w:hAnsi="Times New Roman" w:cs="Times New Roman"/>
          <w:color w:val="000000" w:themeColor="text1"/>
          <w:sz w:val="24"/>
          <w:szCs w:val="24"/>
        </w:rPr>
        <w:t xml:space="preserve"> </w:t>
      </w:r>
      <w:r w:rsidRPr="00862569">
        <w:rPr>
          <w:rFonts w:ascii="Times New Roman" w:hAnsi="Times New Roman" w:cs="Times New Roman"/>
          <w:color w:val="000000" w:themeColor="text1"/>
          <w:sz w:val="24"/>
          <w:szCs w:val="24"/>
        </w:rPr>
        <w:t xml:space="preserve">The intervention and prevention approaches and programs that concentrate on the psychological cause of gun violence can minimize the probability that guns would be used in the conflicts. One effective initiative was known as the Assessment of Behavioral Threats. A concentration on intervention and prevention initiatives is vital to creating a comprehensive and effective strategy </w:t>
      </w:r>
      <w:r w:rsidR="007F3D7B" w:rsidRPr="00862569">
        <w:rPr>
          <w:rFonts w:ascii="Times New Roman" w:hAnsi="Times New Roman" w:cs="Times New Roman"/>
          <w:color w:val="000000" w:themeColor="text1"/>
          <w:sz w:val="24"/>
          <w:szCs w:val="24"/>
        </w:rPr>
        <w:t>for</w:t>
      </w:r>
      <w:r w:rsidRPr="00862569">
        <w:rPr>
          <w:rFonts w:ascii="Times New Roman" w:hAnsi="Times New Roman" w:cs="Times New Roman"/>
          <w:color w:val="000000" w:themeColor="text1"/>
          <w:sz w:val="24"/>
          <w:szCs w:val="24"/>
        </w:rPr>
        <w:t xml:space="preserve"> fostering secure and safe learning institutions</w:t>
      </w:r>
      <w:r w:rsidR="008D715D" w:rsidRPr="00862569">
        <w:rPr>
          <w:rFonts w:ascii="Times New Roman" w:hAnsi="Times New Roman" w:cs="Times New Roman"/>
          <w:color w:val="000000" w:themeColor="text1"/>
          <w:sz w:val="24"/>
          <w:szCs w:val="24"/>
        </w:rPr>
        <w:t xml:space="preserve"> (Behrman et al. 2018)</w:t>
      </w:r>
      <w:r w:rsidRPr="00862569">
        <w:rPr>
          <w:rFonts w:ascii="Times New Roman" w:hAnsi="Times New Roman" w:cs="Times New Roman"/>
          <w:color w:val="000000" w:themeColor="text1"/>
          <w:sz w:val="24"/>
          <w:szCs w:val="24"/>
        </w:rPr>
        <w:t xml:space="preserve">. Studies suggested that the threat assessment process in learning institutions as best practices in early mitigations/preventions and interventions towards identification, assessments, and provision of intervention to students who posed threats of targeted violence to themselves or other students.  </w:t>
      </w:r>
    </w:p>
    <w:p w:rsidR="00073C2B" w:rsidRPr="00862569" w:rsidRDefault="00EA50C6" w:rsidP="000D4CC9">
      <w:pPr>
        <w:spacing w:line="480" w:lineRule="auto"/>
        <w:ind w:firstLine="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Programs of violence prevention should span the course of life</w:t>
      </w:r>
      <w:r w:rsidR="00D81634" w:rsidRPr="00862569">
        <w:rPr>
          <w:rFonts w:ascii="Times New Roman" w:hAnsi="Times New Roman" w:cs="Times New Roman"/>
          <w:color w:val="000000" w:themeColor="text1"/>
          <w:sz w:val="24"/>
          <w:szCs w:val="24"/>
        </w:rPr>
        <w:t xml:space="preserve"> (Metzl&amp; MacLeish, 2015)</w:t>
      </w:r>
      <w:r w:rsidRPr="00862569">
        <w:rPr>
          <w:rFonts w:ascii="Times New Roman" w:hAnsi="Times New Roman" w:cs="Times New Roman"/>
          <w:color w:val="000000" w:themeColor="text1"/>
          <w:sz w:val="24"/>
          <w:szCs w:val="24"/>
        </w:rPr>
        <w:t xml:space="preserve">. Early childhood programs, for example, can assist parents in raising emotionally healthy children. Criminal offenders' initiatives can help in identifying people likely to commit acts of violence in the future. Regulations </w:t>
      </w:r>
      <w:r w:rsidR="007F3D7B" w:rsidRPr="00862569">
        <w:rPr>
          <w:rFonts w:ascii="Times New Roman" w:hAnsi="Times New Roman" w:cs="Times New Roman"/>
          <w:color w:val="000000" w:themeColor="text1"/>
          <w:sz w:val="24"/>
          <w:szCs w:val="24"/>
        </w:rPr>
        <w:t>that</w:t>
      </w:r>
      <w:r w:rsidRPr="00862569">
        <w:rPr>
          <w:rFonts w:ascii="Times New Roman" w:hAnsi="Times New Roman" w:cs="Times New Roman"/>
          <w:color w:val="000000" w:themeColor="text1"/>
          <w:sz w:val="24"/>
          <w:szCs w:val="24"/>
        </w:rPr>
        <w:t xml:space="preserve"> prevent the acquisition of firearms for high-risk individuals such as those with a history of abuse, mental illness, the conviction of misdemeanor </w:t>
      </w:r>
      <w:r w:rsidRPr="00862569">
        <w:rPr>
          <w:rFonts w:ascii="Times New Roman" w:hAnsi="Times New Roman" w:cs="Times New Roman"/>
          <w:color w:val="000000" w:themeColor="text1"/>
          <w:sz w:val="24"/>
          <w:szCs w:val="24"/>
        </w:rPr>
        <w:lastRenderedPageBreak/>
        <w:t>crimes</w:t>
      </w:r>
      <w:r w:rsidR="007F3D7B" w:rsidRPr="00862569">
        <w:rPr>
          <w:rFonts w:ascii="Times New Roman" w:hAnsi="Times New Roman" w:cs="Times New Roman"/>
          <w:color w:val="000000" w:themeColor="text1"/>
          <w:sz w:val="24"/>
          <w:szCs w:val="24"/>
        </w:rPr>
        <w:t>,</w:t>
      </w:r>
      <w:r w:rsidRPr="00862569">
        <w:rPr>
          <w:rFonts w:ascii="Times New Roman" w:hAnsi="Times New Roman" w:cs="Times New Roman"/>
          <w:color w:val="000000" w:themeColor="text1"/>
          <w:sz w:val="24"/>
          <w:szCs w:val="24"/>
        </w:rPr>
        <w:t xml:space="preserve"> and domestic violence should be developed. The evidence indicates that campaigns of safe firearm use and storage can help prevent violent people from having access to firearms and reduce accidental gun deaths. There is proof of viable approaches to minimize violence in Canada by understanding the psychological causes of such aggression. However, there is no single magic solution</w:t>
      </w:r>
      <w:r w:rsidR="00D81634" w:rsidRPr="00862569">
        <w:rPr>
          <w:rFonts w:ascii="Times New Roman" w:hAnsi="Times New Roman" w:cs="Times New Roman"/>
          <w:color w:val="000000" w:themeColor="text1"/>
          <w:sz w:val="24"/>
          <w:szCs w:val="24"/>
        </w:rPr>
        <w:t xml:space="preserve"> (Lee et al. 2017)</w:t>
      </w:r>
      <w:r w:rsidRPr="00862569">
        <w:rPr>
          <w:rFonts w:ascii="Times New Roman" w:hAnsi="Times New Roman" w:cs="Times New Roman"/>
          <w:color w:val="000000" w:themeColor="text1"/>
          <w:sz w:val="24"/>
          <w:szCs w:val="24"/>
        </w:rPr>
        <w:t xml:space="preserve">. The nation needs a collection of answers that handle policies, mental illness, child development, and social norms </w:t>
      </w:r>
      <w:r w:rsidR="007F3D7B" w:rsidRPr="00862569">
        <w:rPr>
          <w:rFonts w:ascii="Times New Roman" w:hAnsi="Times New Roman" w:cs="Times New Roman"/>
          <w:color w:val="000000" w:themeColor="text1"/>
          <w:sz w:val="24"/>
          <w:szCs w:val="24"/>
        </w:rPr>
        <w:t>that</w:t>
      </w:r>
      <w:r w:rsidRPr="00862569">
        <w:rPr>
          <w:rFonts w:ascii="Times New Roman" w:hAnsi="Times New Roman" w:cs="Times New Roman"/>
          <w:color w:val="000000" w:themeColor="text1"/>
          <w:sz w:val="24"/>
          <w:szCs w:val="24"/>
        </w:rPr>
        <w:t xml:space="preserve"> regulate access to firearms.</w:t>
      </w:r>
    </w:p>
    <w:p w:rsidR="00EA50C6" w:rsidRPr="00862569" w:rsidRDefault="00073C2B" w:rsidP="000D4CC9">
      <w:pPr>
        <w:spacing w:line="480" w:lineRule="auto"/>
        <w:ind w:firstLine="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Excluding vital analysis that w</w:t>
      </w:r>
      <w:r w:rsidR="007F3D7B" w:rsidRPr="00862569">
        <w:rPr>
          <w:rFonts w:ascii="Times New Roman" w:hAnsi="Times New Roman" w:cs="Times New Roman"/>
          <w:color w:val="000000" w:themeColor="text1"/>
          <w:sz w:val="24"/>
          <w:szCs w:val="24"/>
        </w:rPr>
        <w:t>as</w:t>
      </w:r>
      <w:r w:rsidRPr="00862569">
        <w:rPr>
          <w:rFonts w:ascii="Times New Roman" w:hAnsi="Times New Roman" w:cs="Times New Roman"/>
          <w:color w:val="000000" w:themeColor="text1"/>
          <w:sz w:val="24"/>
          <w:szCs w:val="24"/>
        </w:rPr>
        <w:t xml:space="preserve"> done recently in Toronto and Montreal, limited researches are available that look</w:t>
      </w:r>
      <w:r w:rsidR="007F3D7B" w:rsidRPr="00862569">
        <w:rPr>
          <w:rFonts w:ascii="Times New Roman" w:hAnsi="Times New Roman" w:cs="Times New Roman"/>
          <w:color w:val="000000" w:themeColor="text1"/>
          <w:sz w:val="24"/>
          <w:szCs w:val="24"/>
        </w:rPr>
        <w:t>s</w:t>
      </w:r>
      <w:r w:rsidRPr="00862569">
        <w:rPr>
          <w:rFonts w:ascii="Times New Roman" w:hAnsi="Times New Roman" w:cs="Times New Roman"/>
          <w:color w:val="000000" w:themeColor="text1"/>
          <w:sz w:val="24"/>
          <w:szCs w:val="24"/>
        </w:rPr>
        <w:t xml:space="preserve"> into the correlations and what leads to the existence of gang members</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xml:space="preserve">. There is very little understanding </w:t>
      </w:r>
      <w:r w:rsidR="007F3D7B" w:rsidRPr="00862569">
        <w:rPr>
          <w:rFonts w:ascii="Times New Roman" w:hAnsi="Times New Roman" w:cs="Times New Roman"/>
          <w:color w:val="000000" w:themeColor="text1"/>
          <w:sz w:val="24"/>
          <w:szCs w:val="24"/>
        </w:rPr>
        <w:t>of</w:t>
      </w:r>
      <w:r w:rsidRPr="00862569">
        <w:rPr>
          <w:rFonts w:ascii="Times New Roman" w:hAnsi="Times New Roman" w:cs="Times New Roman"/>
          <w:color w:val="000000" w:themeColor="text1"/>
          <w:sz w:val="24"/>
          <w:szCs w:val="24"/>
        </w:rPr>
        <w:t xml:space="preserve"> the features of crime entities in Canada (for example</w:t>
      </w:r>
      <w:r w:rsidR="007F3D7B" w:rsidRPr="00862569">
        <w:rPr>
          <w:rFonts w:ascii="Times New Roman" w:hAnsi="Times New Roman" w:cs="Times New Roman"/>
          <w:color w:val="000000" w:themeColor="text1"/>
          <w:sz w:val="24"/>
          <w:szCs w:val="24"/>
        </w:rPr>
        <w:t>,</w:t>
      </w:r>
      <w:r w:rsidRPr="00862569">
        <w:rPr>
          <w:rFonts w:ascii="Times New Roman" w:hAnsi="Times New Roman" w:cs="Times New Roman"/>
          <w:color w:val="000000" w:themeColor="text1"/>
          <w:sz w:val="24"/>
          <w:szCs w:val="24"/>
        </w:rPr>
        <w:t xml:space="preserve"> ecology, member’s characteristics, and size). However</w:t>
      </w:r>
      <w:r w:rsidR="007F3D7B" w:rsidRPr="00862569">
        <w:rPr>
          <w:rFonts w:ascii="Times New Roman" w:hAnsi="Times New Roman" w:cs="Times New Roman"/>
          <w:color w:val="000000" w:themeColor="text1"/>
          <w:sz w:val="24"/>
          <w:szCs w:val="24"/>
        </w:rPr>
        <w:t>,</w:t>
      </w:r>
      <w:r w:rsidRPr="00862569">
        <w:rPr>
          <w:rFonts w:ascii="Times New Roman" w:hAnsi="Times New Roman" w:cs="Times New Roman"/>
          <w:color w:val="000000" w:themeColor="text1"/>
          <w:sz w:val="24"/>
          <w:szCs w:val="24"/>
        </w:rPr>
        <w:t xml:space="preserve"> the connection s </w:t>
      </w:r>
      <w:r w:rsidR="007F3D7B" w:rsidRPr="00862569">
        <w:rPr>
          <w:rFonts w:ascii="Times New Roman" w:hAnsi="Times New Roman" w:cs="Times New Roman"/>
          <w:color w:val="000000" w:themeColor="text1"/>
          <w:sz w:val="24"/>
          <w:szCs w:val="24"/>
        </w:rPr>
        <w:t>between</w:t>
      </w:r>
      <w:r w:rsidRPr="00862569">
        <w:rPr>
          <w:rFonts w:ascii="Times New Roman" w:hAnsi="Times New Roman" w:cs="Times New Roman"/>
          <w:color w:val="000000" w:themeColor="text1"/>
          <w:sz w:val="24"/>
          <w:szCs w:val="24"/>
        </w:rPr>
        <w:t xml:space="preserve"> dealings in drug mainly distribution and cultivation of marijuana </w:t>
      </w:r>
      <w:r w:rsidR="007F3D7B" w:rsidRPr="00862569">
        <w:rPr>
          <w:rFonts w:ascii="Times New Roman" w:hAnsi="Times New Roman" w:cs="Times New Roman"/>
          <w:color w:val="000000" w:themeColor="text1"/>
          <w:sz w:val="24"/>
          <w:szCs w:val="24"/>
        </w:rPr>
        <w:t>are</w:t>
      </w:r>
      <w:r w:rsidR="00527F1D">
        <w:rPr>
          <w:rFonts w:ascii="Times New Roman" w:hAnsi="Times New Roman" w:cs="Times New Roman"/>
          <w:color w:val="000000" w:themeColor="text1"/>
          <w:sz w:val="24"/>
          <w:szCs w:val="24"/>
        </w:rPr>
        <w:t xml:space="preserve"> </w:t>
      </w:r>
      <w:r w:rsidR="007F3D7B" w:rsidRPr="00862569">
        <w:rPr>
          <w:rFonts w:ascii="Times New Roman" w:hAnsi="Times New Roman" w:cs="Times New Roman"/>
          <w:color w:val="000000" w:themeColor="text1"/>
          <w:sz w:val="24"/>
          <w:szCs w:val="24"/>
        </w:rPr>
        <w:t>appropriate</w:t>
      </w:r>
      <w:r w:rsidRPr="00862569">
        <w:rPr>
          <w:rFonts w:ascii="Times New Roman" w:hAnsi="Times New Roman" w:cs="Times New Roman"/>
          <w:color w:val="000000" w:themeColor="text1"/>
          <w:sz w:val="24"/>
          <w:szCs w:val="24"/>
        </w:rPr>
        <w:t xml:space="preserve">ly documented in British Columbia which is famous </w:t>
      </w:r>
      <w:r w:rsidR="007F3D7B" w:rsidRPr="00862569">
        <w:rPr>
          <w:rFonts w:ascii="Times New Roman" w:hAnsi="Times New Roman" w:cs="Times New Roman"/>
          <w:color w:val="000000" w:themeColor="text1"/>
          <w:sz w:val="24"/>
          <w:szCs w:val="24"/>
        </w:rPr>
        <w:t>for</w:t>
      </w:r>
      <w:r w:rsidRPr="00862569">
        <w:rPr>
          <w:rFonts w:ascii="Times New Roman" w:hAnsi="Times New Roman" w:cs="Times New Roman"/>
          <w:color w:val="000000" w:themeColor="text1"/>
          <w:sz w:val="24"/>
          <w:szCs w:val="24"/>
        </w:rPr>
        <w:t xml:space="preserve"> the gang- gun- drug relation.</w:t>
      </w:r>
      <w:r w:rsidR="00527F1D">
        <w:rPr>
          <w:rFonts w:ascii="Times New Roman" w:hAnsi="Times New Roman" w:cs="Times New Roman"/>
          <w:color w:val="000000" w:themeColor="text1"/>
          <w:sz w:val="24"/>
          <w:szCs w:val="24"/>
        </w:rPr>
        <w:t xml:space="preserve"> </w:t>
      </w:r>
      <w:r w:rsidRPr="00862569">
        <w:rPr>
          <w:rFonts w:ascii="Times New Roman" w:hAnsi="Times New Roman" w:cs="Times New Roman"/>
          <w:color w:val="000000" w:themeColor="text1"/>
          <w:sz w:val="24"/>
          <w:szCs w:val="24"/>
        </w:rPr>
        <w:t>This paper intends to explore the psychological causes and consequences of gun violence specific to Canada and the past institutional psychological and forensic attempts to address it and the current state of proposals. The paper will examine which communities are most vulnerable to gun violence as well as the constitutional issues that are contributing to the increased gun problem</w:t>
      </w:r>
      <w:r w:rsidR="008D715D" w:rsidRPr="00862569">
        <w:rPr>
          <w:rFonts w:ascii="Times New Roman" w:hAnsi="Times New Roman" w:cs="Times New Roman"/>
          <w:color w:val="000000" w:themeColor="text1"/>
          <w:sz w:val="24"/>
          <w:szCs w:val="24"/>
        </w:rPr>
        <w:t xml:space="preserve"> (Behrman et al. 2018)</w:t>
      </w:r>
      <w:r w:rsidRPr="00862569">
        <w:rPr>
          <w:rFonts w:ascii="Times New Roman" w:hAnsi="Times New Roman" w:cs="Times New Roman"/>
          <w:color w:val="000000" w:themeColor="text1"/>
          <w:sz w:val="24"/>
          <w:szCs w:val="24"/>
        </w:rPr>
        <w:t>. Finally, this paper will propose policies that the Canadian government may consider to reduce or curb the rates of gun violence in Canada.</w:t>
      </w:r>
    </w:p>
    <w:p w:rsidR="00EA50C6" w:rsidRPr="00862569" w:rsidRDefault="00073C2B" w:rsidP="000D4CC9">
      <w:pPr>
        <w:spacing w:line="480" w:lineRule="auto"/>
        <w:rPr>
          <w:rFonts w:ascii="Times New Roman" w:hAnsi="Times New Roman" w:cs="Times New Roman"/>
          <w:color w:val="000000" w:themeColor="text1"/>
          <w:sz w:val="24"/>
          <w:szCs w:val="24"/>
        </w:rPr>
      </w:pPr>
      <w:bookmarkStart w:id="2" w:name="_Toc7824089"/>
      <w:r w:rsidRPr="00862569">
        <w:rPr>
          <w:rFonts w:ascii="Times New Roman" w:hAnsi="Times New Roman" w:cs="Times New Roman"/>
          <w:color w:val="000000" w:themeColor="text1"/>
          <w:sz w:val="24"/>
          <w:szCs w:val="24"/>
        </w:rPr>
        <w:t>1.1</w:t>
      </w:r>
      <w:r w:rsidR="00EA50C6" w:rsidRPr="00862569">
        <w:rPr>
          <w:rFonts w:ascii="Times New Roman" w:hAnsi="Times New Roman" w:cs="Times New Roman"/>
          <w:color w:val="000000" w:themeColor="text1"/>
          <w:sz w:val="24"/>
          <w:szCs w:val="24"/>
        </w:rPr>
        <w:t xml:space="preserve"> Problem Statement</w:t>
      </w:r>
      <w:bookmarkEnd w:id="2"/>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The National Crime Prevention Centre NCPC in Canada (2007) asserts that formulating and executing effective programs to minimize firearm violence requires high pr</w:t>
      </w:r>
      <w:r w:rsidR="005A1BBB" w:rsidRPr="00862569">
        <w:rPr>
          <w:rFonts w:ascii="Times New Roman" w:hAnsi="Times New Roman" w:cs="Times New Roman"/>
          <w:color w:val="000000" w:themeColor="text1"/>
          <w:sz w:val="24"/>
          <w:szCs w:val="24"/>
        </w:rPr>
        <w:t>iority at all government levels</w:t>
      </w:r>
      <w:r w:rsidRPr="00862569">
        <w:rPr>
          <w:rFonts w:ascii="Times New Roman" w:hAnsi="Times New Roman" w:cs="Times New Roman"/>
          <w:color w:val="000000" w:themeColor="text1"/>
          <w:sz w:val="24"/>
          <w:szCs w:val="24"/>
        </w:rPr>
        <w:t xml:space="preserve">. Additionally, The NCPC believes that in handling gun accessibility issues, </w:t>
      </w:r>
      <w:r w:rsidRPr="00862569">
        <w:rPr>
          <w:rFonts w:ascii="Times New Roman" w:hAnsi="Times New Roman" w:cs="Times New Roman"/>
          <w:color w:val="000000" w:themeColor="text1"/>
          <w:sz w:val="24"/>
          <w:szCs w:val="24"/>
        </w:rPr>
        <w:lastRenderedPageBreak/>
        <w:t>national policies are most important in terms of restricting the illegal gun flow and access to the guns by private citizens across one's boundaries</w:t>
      </w:r>
      <w:r w:rsidR="00D81634" w:rsidRPr="00862569">
        <w:rPr>
          <w:rFonts w:ascii="Times New Roman" w:hAnsi="Times New Roman" w:cs="Times New Roman"/>
          <w:color w:val="000000" w:themeColor="text1"/>
          <w:sz w:val="24"/>
          <w:szCs w:val="24"/>
        </w:rPr>
        <w:t xml:space="preserve"> (Metzl</w:t>
      </w:r>
      <w:r w:rsidR="00573A24">
        <w:rPr>
          <w:rFonts w:ascii="Times New Roman" w:hAnsi="Times New Roman" w:cs="Times New Roman"/>
          <w:color w:val="000000" w:themeColor="text1"/>
          <w:sz w:val="24"/>
          <w:szCs w:val="24"/>
        </w:rPr>
        <w:t xml:space="preserve"> </w:t>
      </w:r>
      <w:r w:rsidR="00D81634" w:rsidRPr="00862569">
        <w:rPr>
          <w:rFonts w:ascii="Times New Roman" w:hAnsi="Times New Roman" w:cs="Times New Roman"/>
          <w:color w:val="000000" w:themeColor="text1"/>
          <w:sz w:val="24"/>
          <w:szCs w:val="24"/>
        </w:rPr>
        <w:t>&amp; MacLeish, 2015)</w:t>
      </w:r>
      <w:r w:rsidRPr="00862569">
        <w:rPr>
          <w:rFonts w:ascii="Times New Roman" w:hAnsi="Times New Roman" w:cs="Times New Roman"/>
          <w:color w:val="000000" w:themeColor="text1"/>
          <w:sz w:val="24"/>
          <w:szCs w:val="24"/>
        </w:rPr>
        <w:t>. Moreover, the NCPC recommends the federal government also offer funding and resources such as data, social services, and criminal justice agencies essential in the implementation of the particular firearm violence strategies at the national levels</w:t>
      </w:r>
      <w:r w:rsidR="005A1BBB" w:rsidRPr="00862569">
        <w:rPr>
          <w:rFonts w:ascii="Times New Roman" w:eastAsia="Calibri" w:hAnsi="Times New Roman" w:cs="Times New Roman"/>
          <w:color w:val="000000" w:themeColor="text1"/>
          <w:sz w:val="24"/>
          <w:szCs w:val="24"/>
        </w:rPr>
        <w:t>.</w:t>
      </w:r>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 xml:space="preserve"> Even with so many strict laws and regulations, Canada has faced horrific mass shootings like the one that took place in Toronto on the Danforth last</w:t>
      </w:r>
      <w:r w:rsidR="00BE5080" w:rsidRPr="00862569">
        <w:rPr>
          <w:rFonts w:ascii="Times New Roman" w:hAnsi="Times New Roman" w:cs="Times New Roman"/>
          <w:color w:val="000000" w:themeColor="text1"/>
          <w:sz w:val="24"/>
          <w:szCs w:val="24"/>
        </w:rPr>
        <w:t xml:space="preserve"> (Behrman et al. 2018)</w:t>
      </w:r>
      <w:r w:rsidRPr="00862569">
        <w:rPr>
          <w:rFonts w:ascii="Times New Roman" w:hAnsi="Times New Roman" w:cs="Times New Roman"/>
          <w:color w:val="000000" w:themeColor="text1"/>
          <w:sz w:val="24"/>
          <w:szCs w:val="24"/>
        </w:rPr>
        <w:t>. The Canadian politicians have demanded new regulations on guns, but even the attempts at stricter laws have failed.  In the modern world, it is the typical response that after every mass shooting, the politicians and the government make a case for enacting more rigid laws about what kinds of guns are available and the individuals who can possess them.  Individuals who support the rights of firearm owners usually argue that guns do not kill people; individuals kill one another. In Canada, more than 78,000 are injured each year due to gun violence, and another 30,000 people die</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Substantially, these rates are higher than the figures from almost all other nations in the universe and seven times greater than those in other developed countries such as the United Kingdom, Sweden, Spain, South Korea, Italy, India, Germany, France, Australia, and the U.S.</w:t>
      </w:r>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Two past studies offer insights on evidence-based approaches to minimize firearm violence</w:t>
      </w:r>
      <w:r w:rsidR="00D81634" w:rsidRPr="00862569">
        <w:rPr>
          <w:rFonts w:ascii="Times New Roman" w:hAnsi="Times New Roman" w:cs="Times New Roman"/>
          <w:color w:val="000000" w:themeColor="text1"/>
          <w:sz w:val="24"/>
          <w:szCs w:val="24"/>
        </w:rPr>
        <w:t xml:space="preserve"> (Metzl&amp; MacLeish, 2015)</w:t>
      </w:r>
      <w:r w:rsidRPr="00862569">
        <w:rPr>
          <w:rFonts w:ascii="Times New Roman" w:hAnsi="Times New Roman" w:cs="Times New Roman"/>
          <w:color w:val="000000" w:themeColor="text1"/>
          <w:sz w:val="24"/>
          <w:szCs w:val="24"/>
        </w:rPr>
        <w:t xml:space="preserve">. The initial research was published in the journal “Epidemiological Reviews” by a group of public health researchers. They examined one-hundred and thirty studies from ten nations that examined the relationships between gun violence and firearm laws. The analyses used data from various firearms laws that include regulations about punishments for gun offenders, rules targeting particular kinds of ammunition and guns, storage </w:t>
      </w:r>
      <w:r w:rsidRPr="00862569">
        <w:rPr>
          <w:rFonts w:ascii="Times New Roman" w:hAnsi="Times New Roman" w:cs="Times New Roman"/>
          <w:color w:val="000000" w:themeColor="text1"/>
          <w:sz w:val="24"/>
          <w:szCs w:val="24"/>
        </w:rPr>
        <w:lastRenderedPageBreak/>
        <w:t>laws, and rules about ownership and sales. The researchers concluded that special regulations combining various types of gun laws were not the best to minimize gun violence deaths. Also, they revealed that studies should be carried out to find out other institutional psychological and forensic methods that can be used to reduce deaths from firearm violence</w:t>
      </w:r>
      <w:r w:rsidR="00D81634" w:rsidRPr="00862569">
        <w:rPr>
          <w:rFonts w:ascii="Times New Roman" w:hAnsi="Times New Roman" w:cs="Times New Roman"/>
          <w:color w:val="000000" w:themeColor="text1"/>
          <w:sz w:val="24"/>
          <w:szCs w:val="24"/>
        </w:rPr>
        <w:t xml:space="preserve"> (Lee et al. 2017)</w:t>
      </w:r>
      <w:r w:rsidRPr="00862569">
        <w:rPr>
          <w:rFonts w:ascii="Times New Roman" w:hAnsi="Times New Roman" w:cs="Times New Roman"/>
          <w:color w:val="000000" w:themeColor="text1"/>
          <w:sz w:val="24"/>
          <w:szCs w:val="24"/>
        </w:rPr>
        <w:t>. However, they proposed that specific special regulations like background checks are the most successful approaches to curb gun violence.</w:t>
      </w:r>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The American Psychological Association in 2013 took a different method to examine the best approaches to minimize firearm violence</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Their report reviewed the evidence on gun violence that included mass shootings, homicide, and suicide. The story was written by professionals and experts from fields that range from criminal justice to pediatric medicine. It took a close examination of the motivation that drove people to commit firearm violence. The leading information from the APA findings was that there were complicated reasons for why people resorted to firearm violence</w:t>
      </w:r>
      <w:r w:rsidR="007F3D7B" w:rsidRPr="00862569">
        <w:rPr>
          <w:rFonts w:ascii="Times New Roman" w:hAnsi="Times New Roman" w:cs="Times New Roman"/>
          <w:color w:val="000000" w:themeColor="text1"/>
          <w:sz w:val="24"/>
          <w:szCs w:val="24"/>
        </w:rPr>
        <w:t>,</w:t>
      </w:r>
      <w:r w:rsidRPr="00862569">
        <w:rPr>
          <w:rFonts w:ascii="Times New Roman" w:hAnsi="Times New Roman" w:cs="Times New Roman"/>
          <w:color w:val="000000" w:themeColor="text1"/>
          <w:sz w:val="24"/>
          <w:szCs w:val="24"/>
        </w:rPr>
        <w:t xml:space="preserve"> which var</w:t>
      </w:r>
      <w:r w:rsidR="007F3D7B" w:rsidRPr="00862569">
        <w:rPr>
          <w:rFonts w:ascii="Times New Roman" w:hAnsi="Times New Roman" w:cs="Times New Roman"/>
          <w:color w:val="000000" w:themeColor="text1"/>
          <w:sz w:val="24"/>
          <w:szCs w:val="24"/>
        </w:rPr>
        <w:t>ies</w:t>
      </w:r>
      <w:r w:rsidRPr="00862569">
        <w:rPr>
          <w:rFonts w:ascii="Times New Roman" w:hAnsi="Times New Roman" w:cs="Times New Roman"/>
          <w:color w:val="000000" w:themeColor="text1"/>
          <w:sz w:val="24"/>
          <w:szCs w:val="24"/>
        </w:rPr>
        <w:t xml:space="preserve"> for each scenario</w:t>
      </w:r>
      <w:r w:rsidR="00D81634" w:rsidRPr="00862569">
        <w:rPr>
          <w:rFonts w:ascii="Times New Roman" w:hAnsi="Times New Roman" w:cs="Times New Roman"/>
          <w:color w:val="000000" w:themeColor="text1"/>
          <w:sz w:val="24"/>
          <w:szCs w:val="24"/>
        </w:rPr>
        <w:t xml:space="preserve"> (Newman &amp; Head, 2017)</w:t>
      </w:r>
      <w:r w:rsidRPr="00862569">
        <w:rPr>
          <w:rFonts w:ascii="Times New Roman" w:hAnsi="Times New Roman" w:cs="Times New Roman"/>
          <w:color w:val="000000" w:themeColor="text1"/>
          <w:sz w:val="24"/>
          <w:szCs w:val="24"/>
        </w:rPr>
        <w:t>. The APA concluded that there was no one reason which could reliably predict who would use firearms in violent acts. However, the APA reported that there is some information that would assist in predicting those people who were most likely to commit violent acts with guns. The most potent and consistent indicator that an individual would resort to firearm violence is their violent behavior history</w:t>
      </w:r>
      <w:r w:rsidR="00BE5080" w:rsidRPr="00862569">
        <w:rPr>
          <w:rFonts w:ascii="Times New Roman" w:hAnsi="Times New Roman" w:cs="Times New Roman"/>
          <w:color w:val="000000" w:themeColor="text1"/>
          <w:sz w:val="24"/>
          <w:szCs w:val="24"/>
        </w:rPr>
        <w:t xml:space="preserve"> (Behrman et al. 2018)</w:t>
      </w:r>
      <w:r w:rsidRPr="00862569">
        <w:rPr>
          <w:rFonts w:ascii="Times New Roman" w:hAnsi="Times New Roman" w:cs="Times New Roman"/>
          <w:color w:val="000000" w:themeColor="text1"/>
          <w:sz w:val="24"/>
          <w:szCs w:val="24"/>
        </w:rPr>
        <w:t xml:space="preserve">. Gun violence is associated with the combination of social risk, community, peer, school, family, and individual factors </w:t>
      </w:r>
      <w:r w:rsidR="007F3D7B" w:rsidRPr="00862569">
        <w:rPr>
          <w:rFonts w:ascii="Times New Roman" w:hAnsi="Times New Roman" w:cs="Times New Roman"/>
          <w:color w:val="000000" w:themeColor="text1"/>
          <w:sz w:val="24"/>
          <w:szCs w:val="24"/>
        </w:rPr>
        <w:t>that</w:t>
      </w:r>
      <w:r w:rsidRPr="00862569">
        <w:rPr>
          <w:rFonts w:ascii="Times New Roman" w:hAnsi="Times New Roman" w:cs="Times New Roman"/>
          <w:color w:val="000000" w:themeColor="text1"/>
          <w:sz w:val="24"/>
          <w:szCs w:val="24"/>
        </w:rPr>
        <w:t xml:space="preserve"> interact over time during adolescence and childhood. </w:t>
      </w:r>
    </w:p>
    <w:p w:rsidR="00EA50C6" w:rsidRPr="00862569" w:rsidRDefault="00073C2B" w:rsidP="000D4CC9">
      <w:pPr>
        <w:spacing w:line="480" w:lineRule="auto"/>
        <w:rPr>
          <w:rFonts w:ascii="Times New Roman" w:hAnsi="Times New Roman" w:cs="Times New Roman"/>
          <w:color w:val="000000" w:themeColor="text1"/>
          <w:sz w:val="24"/>
          <w:szCs w:val="24"/>
        </w:rPr>
      </w:pPr>
      <w:bookmarkStart w:id="3" w:name="_Toc7824090"/>
      <w:r w:rsidRPr="00862569">
        <w:rPr>
          <w:rFonts w:ascii="Times New Roman" w:hAnsi="Times New Roman" w:cs="Times New Roman"/>
          <w:color w:val="000000" w:themeColor="text1"/>
          <w:sz w:val="24"/>
          <w:szCs w:val="24"/>
        </w:rPr>
        <w:t>1.2</w:t>
      </w:r>
      <w:r w:rsidR="00EA50C6" w:rsidRPr="00862569">
        <w:rPr>
          <w:rFonts w:ascii="Times New Roman" w:hAnsi="Times New Roman" w:cs="Times New Roman"/>
          <w:color w:val="000000" w:themeColor="text1"/>
          <w:sz w:val="24"/>
          <w:szCs w:val="24"/>
        </w:rPr>
        <w:t>. Position</w:t>
      </w:r>
      <w:bookmarkEnd w:id="3"/>
      <w:r w:rsidR="00EA50C6" w:rsidRPr="00862569">
        <w:rPr>
          <w:rFonts w:ascii="Times New Roman" w:hAnsi="Times New Roman" w:cs="Times New Roman"/>
          <w:color w:val="000000" w:themeColor="text1"/>
          <w:sz w:val="24"/>
          <w:szCs w:val="24"/>
        </w:rPr>
        <w:tab/>
      </w:r>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lastRenderedPageBreak/>
        <w:tab/>
        <w:t>This paper intends to explore the psychological causes and consequences of gun violence specific to Canada and the past institutional psychological and forensic attempts to address it and the current state of proposals</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The paper will examine which communities are most vulnerable to gun violence as well as the constitutional issues that are contributing to the increased gun problem. Finally, this paper will propose policies that the Canadian government may consider to reduce or curb the rates of gun violence in Canada.</w:t>
      </w:r>
    </w:p>
    <w:p w:rsidR="00EA50C6" w:rsidRPr="00862569" w:rsidRDefault="00073C2B" w:rsidP="000D4CC9">
      <w:pPr>
        <w:spacing w:line="480" w:lineRule="auto"/>
        <w:rPr>
          <w:rFonts w:ascii="Times New Roman" w:hAnsi="Times New Roman" w:cs="Times New Roman"/>
          <w:color w:val="000000" w:themeColor="text1"/>
          <w:sz w:val="24"/>
          <w:szCs w:val="24"/>
        </w:rPr>
      </w:pPr>
      <w:bookmarkStart w:id="4" w:name="_Toc7824091"/>
      <w:r w:rsidRPr="00862569">
        <w:rPr>
          <w:rFonts w:ascii="Times New Roman" w:hAnsi="Times New Roman" w:cs="Times New Roman"/>
          <w:color w:val="000000" w:themeColor="text1"/>
          <w:sz w:val="24"/>
          <w:szCs w:val="24"/>
        </w:rPr>
        <w:t>1.4</w:t>
      </w:r>
      <w:r w:rsidR="00EA50C6" w:rsidRPr="00862569">
        <w:rPr>
          <w:rFonts w:ascii="Times New Roman" w:hAnsi="Times New Roman" w:cs="Times New Roman"/>
          <w:color w:val="000000" w:themeColor="text1"/>
          <w:sz w:val="24"/>
          <w:szCs w:val="24"/>
        </w:rPr>
        <w:t>. Objectives</w:t>
      </w:r>
      <w:bookmarkEnd w:id="4"/>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This paper intends to:</w:t>
      </w:r>
    </w:p>
    <w:p w:rsidR="00EA50C6" w:rsidRPr="00862569" w:rsidRDefault="00EA50C6" w:rsidP="000D4CC9">
      <w:pPr>
        <w:pStyle w:val="ListParagraph"/>
        <w:numPr>
          <w:ilvl w:val="0"/>
          <w:numId w:val="1"/>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 xml:space="preserve">Explore the consequences of gun violence among different categories of people. </w:t>
      </w:r>
    </w:p>
    <w:p w:rsidR="00EA50C6" w:rsidRPr="00862569" w:rsidRDefault="00EA50C6" w:rsidP="000D4CC9">
      <w:pPr>
        <w:pStyle w:val="ListParagraph"/>
        <w:numPr>
          <w:ilvl w:val="0"/>
          <w:numId w:val="1"/>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Examine which populations are most impacted by gun violence.</w:t>
      </w:r>
    </w:p>
    <w:p w:rsidR="00EA50C6" w:rsidRPr="00862569" w:rsidRDefault="00EA50C6" w:rsidP="000D4CC9">
      <w:pPr>
        <w:pStyle w:val="ListParagraph"/>
        <w:numPr>
          <w:ilvl w:val="0"/>
          <w:numId w:val="1"/>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 xml:space="preserve">Examine the past institutional psychological and forensic attempts to address firearm violence. </w:t>
      </w:r>
    </w:p>
    <w:p w:rsidR="00EA50C6" w:rsidRPr="00862569" w:rsidRDefault="00EA50C6" w:rsidP="000D4CC9">
      <w:pPr>
        <w:pStyle w:val="ListParagraph"/>
        <w:numPr>
          <w:ilvl w:val="0"/>
          <w:numId w:val="1"/>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Recommend policies that the government can put into practice to reduce or curb the rates of gun violence rather than strict rules, laws, and regulations.</w:t>
      </w:r>
    </w:p>
    <w:p w:rsidR="005A1BBB" w:rsidRPr="00862569" w:rsidRDefault="00073C2B"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1.5</w:t>
      </w:r>
      <w:r w:rsidR="005A1BBB" w:rsidRPr="00862569">
        <w:rPr>
          <w:rFonts w:ascii="Times New Roman" w:hAnsi="Times New Roman" w:cs="Times New Roman"/>
          <w:color w:val="000000" w:themeColor="text1"/>
          <w:sz w:val="24"/>
          <w:szCs w:val="24"/>
        </w:rPr>
        <w:t xml:space="preserve"> Research Question: </w:t>
      </w:r>
    </w:p>
    <w:p w:rsidR="005A1BBB" w:rsidRPr="00862569" w:rsidRDefault="005A1BBB"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In responding to the research objectives, the research will answer the following research questions:</w:t>
      </w:r>
    </w:p>
    <w:p w:rsidR="005A1BBB" w:rsidRPr="00862569" w:rsidRDefault="005A1BBB" w:rsidP="000D4CC9">
      <w:pPr>
        <w:pStyle w:val="ListParagraph"/>
        <w:numPr>
          <w:ilvl w:val="0"/>
          <w:numId w:val="2"/>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What are the psychological causes and consequences of gun violence specific to Canada?</w:t>
      </w:r>
    </w:p>
    <w:p w:rsidR="005A1BBB" w:rsidRPr="00862569" w:rsidRDefault="005A1BBB" w:rsidP="000D4CC9">
      <w:pPr>
        <w:pStyle w:val="ListParagraph"/>
        <w:numPr>
          <w:ilvl w:val="0"/>
          <w:numId w:val="2"/>
        </w:num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 xml:space="preserve">  What are some of the past institutional psychological and forensic attempts to address it and the current state of proposals?</w:t>
      </w:r>
    </w:p>
    <w:p w:rsidR="00EA50C6" w:rsidRPr="00862569" w:rsidRDefault="00EA50C6" w:rsidP="000D4CC9">
      <w:pPr>
        <w:spacing w:line="480" w:lineRule="auto"/>
        <w:rPr>
          <w:rFonts w:ascii="Times New Roman" w:hAnsi="Times New Roman" w:cs="Times New Roman"/>
          <w:color w:val="000000" w:themeColor="text1"/>
          <w:sz w:val="24"/>
          <w:szCs w:val="24"/>
        </w:rPr>
      </w:pPr>
      <w:bookmarkStart w:id="5" w:name="_Toc7824092"/>
      <w:r w:rsidRPr="00862569">
        <w:rPr>
          <w:rFonts w:ascii="Times New Roman" w:hAnsi="Times New Roman" w:cs="Times New Roman"/>
          <w:color w:val="000000" w:themeColor="text1"/>
          <w:sz w:val="24"/>
          <w:szCs w:val="24"/>
        </w:rPr>
        <w:t>1.5 Significance of this paper</w:t>
      </w:r>
      <w:bookmarkEnd w:id="5"/>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lastRenderedPageBreak/>
        <w:tab/>
        <w:t>The paper will explore and present ways that government agencies can develop programs and initiatives to minimize the rates of gun violence activities. The most effective punishment for gun violence criminals will be examined. Preventative strategies will also be presented</w:t>
      </w:r>
      <w:r w:rsidR="008D715D" w:rsidRPr="00862569">
        <w:rPr>
          <w:rFonts w:ascii="Times New Roman" w:hAnsi="Times New Roman" w:cs="Times New Roman"/>
          <w:color w:val="000000" w:themeColor="text1"/>
          <w:sz w:val="24"/>
          <w:szCs w:val="24"/>
        </w:rPr>
        <w:t xml:space="preserve"> (Banks et al. 2017)</w:t>
      </w:r>
      <w:r w:rsidRPr="00862569">
        <w:rPr>
          <w:rFonts w:ascii="Times New Roman" w:hAnsi="Times New Roman" w:cs="Times New Roman"/>
          <w:color w:val="000000" w:themeColor="text1"/>
          <w:sz w:val="24"/>
          <w:szCs w:val="24"/>
        </w:rPr>
        <w:t>. Such initiatives would include education, creation of awareness</w:t>
      </w:r>
      <w:r w:rsidR="007F3D7B" w:rsidRPr="00862569">
        <w:rPr>
          <w:rFonts w:ascii="Times New Roman" w:hAnsi="Times New Roman" w:cs="Times New Roman"/>
          <w:color w:val="000000" w:themeColor="text1"/>
          <w:sz w:val="24"/>
          <w:szCs w:val="24"/>
        </w:rPr>
        <w:t>,</w:t>
      </w:r>
      <w:r w:rsidRPr="00862569">
        <w:rPr>
          <w:rFonts w:ascii="Times New Roman" w:hAnsi="Times New Roman" w:cs="Times New Roman"/>
          <w:color w:val="000000" w:themeColor="text1"/>
          <w:sz w:val="24"/>
          <w:szCs w:val="24"/>
        </w:rPr>
        <w:t xml:space="preserve"> and rehabilitation that would focus on assisting vulnerable individuals to overcome the barriers which are more likely to lead to involvement in acts or activities of firearm crimes. According to past studies, such programs would help these individuals develop professional skills.  The ultimate rehabilitation purpose is to restore and transition these individuals back into the community.</w:t>
      </w:r>
    </w:p>
    <w:p w:rsidR="00EA50C6" w:rsidRPr="00862569" w:rsidRDefault="00EA50C6" w:rsidP="000D4CC9">
      <w:pPr>
        <w:spacing w:line="480" w:lineRule="auto"/>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ab/>
        <w:t>The reports of Canadian Criminal Agencies, show that complemented with community-based methods, individualized methods to firearm crimes can prove useful in the reduction and recurrence of gun violence</w:t>
      </w:r>
      <w:r w:rsidR="00BE5080" w:rsidRPr="00862569">
        <w:rPr>
          <w:rFonts w:ascii="Times New Roman" w:hAnsi="Times New Roman" w:cs="Times New Roman"/>
          <w:color w:val="000000" w:themeColor="text1"/>
          <w:sz w:val="24"/>
          <w:szCs w:val="24"/>
        </w:rPr>
        <w:t xml:space="preserve"> (Behrman et al. 2018)</w:t>
      </w:r>
      <w:r w:rsidRPr="00862569">
        <w:rPr>
          <w:rFonts w:ascii="Times New Roman" w:hAnsi="Times New Roman" w:cs="Times New Roman"/>
          <w:color w:val="000000" w:themeColor="text1"/>
          <w:sz w:val="24"/>
          <w:szCs w:val="24"/>
        </w:rPr>
        <w:t xml:space="preserve">. Ideally, the goal of community-based and psychological methods to curbing the menace of gun violence is these individuals make direct amendments to both the society as well as the victim in which the crimes were committed. The least effective punishment is incapacitation. Incapacitation seeks to avoid or stop future crimes by physically moving the offenders away from the community. </w:t>
      </w:r>
    </w:p>
    <w:p w:rsidR="008D715D" w:rsidRDefault="00EA50C6" w:rsidP="000D4CC9">
      <w:pPr>
        <w:spacing w:line="480" w:lineRule="auto"/>
        <w:ind w:firstLine="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 xml:space="preserve"> The resolution of exploring the highest criminals' needs of criminogenic violence may permit the enhancement of resource prioritization that public agencies and experts deliver to individuals who are at most risk of firearm violence and hopefully influence a community's general gun violence risks</w:t>
      </w:r>
      <w:r w:rsidR="00D81634" w:rsidRPr="00862569">
        <w:rPr>
          <w:rFonts w:ascii="Times New Roman" w:hAnsi="Times New Roman" w:cs="Times New Roman"/>
          <w:color w:val="000000" w:themeColor="text1"/>
          <w:sz w:val="24"/>
          <w:szCs w:val="24"/>
        </w:rPr>
        <w:t xml:space="preserve"> (Metzl&amp; MacLeish, 2015)</w:t>
      </w:r>
      <w:r w:rsidRPr="00862569">
        <w:rPr>
          <w:rFonts w:ascii="Times New Roman" w:hAnsi="Times New Roman" w:cs="Times New Roman"/>
          <w:color w:val="000000" w:themeColor="text1"/>
          <w:sz w:val="24"/>
          <w:szCs w:val="24"/>
        </w:rPr>
        <w:t xml:space="preserve">. Therefore, this kind of information may be useful in helping health specialist who gives direction to prisoners to discover specific challenges based on high risks aspects as well as offering assistance to the management of offered services by the public agencies on reentry. </w:t>
      </w:r>
      <w:r w:rsidR="007F3D7B" w:rsidRPr="00862569">
        <w:rPr>
          <w:rFonts w:ascii="Times New Roman" w:hAnsi="Times New Roman" w:cs="Times New Roman"/>
          <w:color w:val="000000" w:themeColor="text1"/>
          <w:sz w:val="24"/>
          <w:szCs w:val="24"/>
        </w:rPr>
        <w:t>The a</w:t>
      </w:r>
      <w:r w:rsidRPr="00862569">
        <w:rPr>
          <w:rFonts w:ascii="Times New Roman" w:hAnsi="Times New Roman" w:cs="Times New Roman"/>
          <w:color w:val="000000" w:themeColor="text1"/>
          <w:sz w:val="24"/>
          <w:szCs w:val="24"/>
        </w:rPr>
        <w:t xml:space="preserve">ddition of the new data to literature research concerning the resource number assigned for released inmates on reentry is another critical objective of this </w:t>
      </w:r>
      <w:r w:rsidRPr="00862569">
        <w:rPr>
          <w:rFonts w:ascii="Times New Roman" w:hAnsi="Times New Roman" w:cs="Times New Roman"/>
          <w:color w:val="000000" w:themeColor="text1"/>
          <w:sz w:val="24"/>
          <w:szCs w:val="24"/>
        </w:rPr>
        <w:lastRenderedPageBreak/>
        <w:t>study, comprising the mental health therapy impact as well as a possibly useful decline in the rates of recidivism.</w:t>
      </w: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73A24" w:rsidRDefault="00573A24" w:rsidP="000D4CC9">
      <w:pPr>
        <w:spacing w:line="480" w:lineRule="auto"/>
        <w:ind w:firstLine="720"/>
        <w:rPr>
          <w:rFonts w:ascii="Times New Roman" w:hAnsi="Times New Roman" w:cs="Times New Roman"/>
          <w:color w:val="000000" w:themeColor="text1"/>
          <w:sz w:val="24"/>
          <w:szCs w:val="24"/>
        </w:rPr>
      </w:pPr>
    </w:p>
    <w:p w:rsidR="00567E9F" w:rsidRDefault="00567E9F" w:rsidP="000D4CC9">
      <w:pPr>
        <w:spacing w:line="480" w:lineRule="auto"/>
        <w:ind w:firstLine="720"/>
        <w:rPr>
          <w:rFonts w:ascii="Times New Roman" w:hAnsi="Times New Roman" w:cs="Times New Roman"/>
          <w:color w:val="000000" w:themeColor="text1"/>
          <w:sz w:val="24"/>
          <w:szCs w:val="24"/>
        </w:rPr>
      </w:pPr>
    </w:p>
    <w:p w:rsidR="00567E9F" w:rsidRDefault="00567E9F" w:rsidP="000D4CC9">
      <w:pPr>
        <w:spacing w:line="480" w:lineRule="auto"/>
        <w:ind w:firstLine="720"/>
        <w:rPr>
          <w:rFonts w:ascii="Times New Roman" w:hAnsi="Times New Roman" w:cs="Times New Roman"/>
          <w:color w:val="000000" w:themeColor="text1"/>
          <w:sz w:val="24"/>
          <w:szCs w:val="24"/>
        </w:rPr>
      </w:pPr>
    </w:p>
    <w:p w:rsidR="00567E9F" w:rsidRDefault="00567E9F" w:rsidP="000D4CC9">
      <w:pPr>
        <w:spacing w:line="480" w:lineRule="auto"/>
        <w:ind w:firstLine="720"/>
        <w:rPr>
          <w:rFonts w:ascii="Times New Roman" w:hAnsi="Times New Roman" w:cs="Times New Roman"/>
          <w:color w:val="000000" w:themeColor="text1"/>
          <w:sz w:val="24"/>
          <w:szCs w:val="24"/>
        </w:rPr>
      </w:pPr>
    </w:p>
    <w:p w:rsidR="00567E9F" w:rsidRDefault="00567E9F" w:rsidP="000D4CC9">
      <w:pPr>
        <w:spacing w:line="480" w:lineRule="auto"/>
        <w:ind w:firstLine="720"/>
        <w:rPr>
          <w:rFonts w:ascii="Times New Roman" w:hAnsi="Times New Roman" w:cs="Times New Roman"/>
          <w:color w:val="000000" w:themeColor="text1"/>
          <w:sz w:val="24"/>
          <w:szCs w:val="24"/>
        </w:rPr>
      </w:pPr>
    </w:p>
    <w:p w:rsidR="00567E9F" w:rsidRDefault="00567E9F" w:rsidP="000D4CC9">
      <w:pPr>
        <w:spacing w:line="480" w:lineRule="auto"/>
        <w:ind w:firstLine="720"/>
        <w:rPr>
          <w:rFonts w:ascii="Times New Roman" w:hAnsi="Times New Roman" w:cs="Times New Roman"/>
          <w:color w:val="000000" w:themeColor="text1"/>
          <w:sz w:val="24"/>
          <w:szCs w:val="24"/>
        </w:rPr>
      </w:pPr>
    </w:p>
    <w:p w:rsidR="00567E9F" w:rsidRPr="00862569" w:rsidRDefault="00567E9F" w:rsidP="000D4CC9">
      <w:pPr>
        <w:spacing w:line="480" w:lineRule="auto"/>
        <w:ind w:firstLine="720"/>
        <w:rPr>
          <w:rFonts w:ascii="Times New Roman" w:hAnsi="Times New Roman" w:cs="Times New Roman"/>
          <w:color w:val="000000" w:themeColor="text1"/>
          <w:sz w:val="24"/>
          <w:szCs w:val="24"/>
        </w:rPr>
      </w:pPr>
    </w:p>
    <w:p w:rsidR="00BE5080" w:rsidRPr="00573A24" w:rsidRDefault="008D715D" w:rsidP="000D4CC9">
      <w:pPr>
        <w:spacing w:line="480" w:lineRule="auto"/>
        <w:jc w:val="center"/>
        <w:rPr>
          <w:rFonts w:ascii="Times New Roman" w:hAnsi="Times New Roman" w:cs="Times New Roman"/>
          <w:color w:val="000000" w:themeColor="text1"/>
          <w:sz w:val="24"/>
          <w:szCs w:val="24"/>
        </w:rPr>
      </w:pPr>
      <w:r w:rsidRPr="00573A24">
        <w:rPr>
          <w:rFonts w:ascii="Times New Roman" w:hAnsi="Times New Roman" w:cs="Times New Roman"/>
          <w:color w:val="000000" w:themeColor="text1"/>
          <w:sz w:val="24"/>
          <w:szCs w:val="24"/>
        </w:rPr>
        <w:lastRenderedPageBreak/>
        <w:t>References</w:t>
      </w:r>
    </w:p>
    <w:p w:rsidR="00EA50C6" w:rsidRPr="00862569" w:rsidRDefault="008D715D" w:rsidP="000D4CC9">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Banks, G., Hadenfeldt, K., Janoch, M., Manning, C., Ramos, K., &amp; Wolf, D. A. P. S. (2017).Gun violence and substance abuse.Aggression and violent behavior, 34, 113-116.</w:t>
      </w:r>
    </w:p>
    <w:p w:rsidR="00BE5080" w:rsidRPr="00862569" w:rsidRDefault="00BE5080" w:rsidP="000D4CC9">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Behrman, P., Redding, C. A., Raja, S., Newton, T., Beharie, N., &amp;Printz, D. (2018). Society of Behavioral Medicine (SBM) position statement: restore CDC funding for firearms and gun violence prevention research. Translational behavioral medicine, 8(6), 958-961.</w:t>
      </w:r>
    </w:p>
    <w:p w:rsidR="00D81634" w:rsidRPr="00862569" w:rsidRDefault="00D81634" w:rsidP="000D4CC9">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Lee, L. K., Fleegler, E. W., Farrell, C., Avakame, E., Srinivasan, S., Hemenway, D., &amp;Monuteaux, M. C. (2017). Firearm laws and firearm homicides: a systematic review. JAMA internal medicine, 177(1), 106-119.</w:t>
      </w:r>
    </w:p>
    <w:p w:rsidR="00EA50C6" w:rsidRPr="00862569" w:rsidRDefault="00D81634" w:rsidP="000D4CC9">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Metzl, J. M., &amp; MacLeish, K. T. (2015).Mental illness, mass shootings, and the politics of American firearms.American journal of public health, 105(2), 240-249.</w:t>
      </w:r>
    </w:p>
    <w:p w:rsidR="00EA50C6" w:rsidRPr="00862569" w:rsidRDefault="00D81634" w:rsidP="000D4CC9">
      <w:pPr>
        <w:spacing w:line="480" w:lineRule="auto"/>
        <w:ind w:left="720" w:hanging="720"/>
        <w:rPr>
          <w:rFonts w:ascii="Times New Roman" w:hAnsi="Times New Roman" w:cs="Times New Roman"/>
          <w:color w:val="000000" w:themeColor="text1"/>
          <w:sz w:val="24"/>
          <w:szCs w:val="24"/>
        </w:rPr>
      </w:pPr>
      <w:r w:rsidRPr="00862569">
        <w:rPr>
          <w:rFonts w:ascii="Times New Roman" w:hAnsi="Times New Roman" w:cs="Times New Roman"/>
          <w:color w:val="000000" w:themeColor="text1"/>
          <w:sz w:val="24"/>
          <w:szCs w:val="24"/>
        </w:rPr>
        <w:t>Newman, J., &amp; Head, B. (2017). The national context of wicked problems: Comparing policies on gun violence in the US, Canada, and Australia. Journal of comparative policy analysis: research and practice, 19(1), 40-53.</w:t>
      </w:r>
    </w:p>
    <w:p w:rsidR="00551F86" w:rsidRPr="00862569" w:rsidRDefault="00551F86" w:rsidP="000D4CC9">
      <w:pPr>
        <w:spacing w:line="480" w:lineRule="auto"/>
        <w:ind w:left="720" w:hanging="720"/>
        <w:rPr>
          <w:rFonts w:ascii="Times New Roman" w:hAnsi="Times New Roman" w:cs="Times New Roman"/>
          <w:color w:val="000000" w:themeColor="text1"/>
          <w:sz w:val="24"/>
          <w:szCs w:val="24"/>
        </w:rPr>
      </w:pPr>
    </w:p>
    <w:sectPr w:rsidR="00551F86" w:rsidRPr="00862569" w:rsidSect="00BB2E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289" w:rsidRDefault="00F26289" w:rsidP="00862569">
      <w:pPr>
        <w:spacing w:after="0" w:line="240" w:lineRule="auto"/>
      </w:pPr>
      <w:r>
        <w:separator/>
      </w:r>
    </w:p>
  </w:endnote>
  <w:endnote w:type="continuationSeparator" w:id="1">
    <w:p w:rsidR="00F26289" w:rsidRDefault="00F26289" w:rsidP="008625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289" w:rsidRDefault="00F26289" w:rsidP="00862569">
      <w:pPr>
        <w:spacing w:after="0" w:line="240" w:lineRule="auto"/>
      </w:pPr>
      <w:r>
        <w:separator/>
      </w:r>
    </w:p>
  </w:footnote>
  <w:footnote w:type="continuationSeparator" w:id="1">
    <w:p w:rsidR="00F26289" w:rsidRDefault="00F26289" w:rsidP="008625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348056"/>
      <w:docPartObj>
        <w:docPartGallery w:val="Page Numbers (Top of Page)"/>
        <w:docPartUnique/>
      </w:docPartObj>
    </w:sdtPr>
    <w:sdtContent>
      <w:p w:rsidR="007A480B" w:rsidRPr="00BB2E4F" w:rsidRDefault="00567E9F" w:rsidP="00BB2E4F">
        <w:pPr>
          <w:pStyle w:val="Header"/>
          <w:tabs>
            <w:tab w:val="right" w:pos="9360"/>
          </w:tabs>
          <w:rPr>
            <w:rFonts w:ascii="Times New Roman" w:hAnsi="Times New Roman" w:cs="Times New Roman"/>
            <w:sz w:val="24"/>
            <w:szCs w:val="24"/>
          </w:rPr>
        </w:pPr>
        <w:r>
          <w:rPr>
            <w:rFonts w:ascii="Times New Roman" w:hAnsi="Times New Roman" w:cs="Times New Roman"/>
            <w:sz w:val="24"/>
            <w:szCs w:val="24"/>
          </w:rPr>
          <w:t>CONTROL OF GUN VIOLENCE IN CANADA</w:t>
        </w:r>
        <w:r w:rsidR="00BB2E4F" w:rsidRPr="00BB2E4F">
          <w:rPr>
            <w:rFonts w:ascii="Times New Roman" w:hAnsi="Times New Roman" w:cs="Times New Roman"/>
            <w:sz w:val="24"/>
            <w:szCs w:val="24"/>
          </w:rPr>
          <w:tab/>
        </w:r>
        <w:r w:rsidR="00BB2E4F" w:rsidRPr="00BB2E4F">
          <w:rPr>
            <w:rFonts w:ascii="Times New Roman" w:hAnsi="Times New Roman" w:cs="Times New Roman"/>
            <w:sz w:val="24"/>
            <w:szCs w:val="24"/>
          </w:rPr>
          <w:tab/>
        </w:r>
        <w:r w:rsidR="00BB2E4F" w:rsidRPr="00BB2E4F">
          <w:rPr>
            <w:rFonts w:ascii="Times New Roman" w:hAnsi="Times New Roman" w:cs="Times New Roman"/>
            <w:sz w:val="24"/>
            <w:szCs w:val="24"/>
          </w:rPr>
          <w:fldChar w:fldCharType="begin"/>
        </w:r>
        <w:r w:rsidR="00BB2E4F" w:rsidRPr="00BB2E4F">
          <w:rPr>
            <w:rFonts w:ascii="Times New Roman" w:hAnsi="Times New Roman" w:cs="Times New Roman"/>
            <w:sz w:val="24"/>
            <w:szCs w:val="24"/>
          </w:rPr>
          <w:instrText xml:space="preserve"> PAGE   \* MERGEFORMAT </w:instrText>
        </w:r>
        <w:r w:rsidR="00BB2E4F" w:rsidRPr="00BB2E4F">
          <w:rPr>
            <w:rFonts w:ascii="Times New Roman" w:hAnsi="Times New Roman" w:cs="Times New Roman"/>
            <w:sz w:val="24"/>
            <w:szCs w:val="24"/>
          </w:rPr>
          <w:fldChar w:fldCharType="separate"/>
        </w:r>
        <w:r>
          <w:rPr>
            <w:rFonts w:ascii="Times New Roman" w:hAnsi="Times New Roman" w:cs="Times New Roman"/>
            <w:noProof/>
            <w:sz w:val="24"/>
            <w:szCs w:val="24"/>
          </w:rPr>
          <w:t>2</w:t>
        </w:r>
        <w:r w:rsidR="00BB2E4F" w:rsidRPr="00BB2E4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69" w:rsidRPr="00BB2E4F" w:rsidRDefault="00BB2E4F" w:rsidP="00BB2E4F">
    <w:pPr>
      <w:pStyle w:val="Header"/>
      <w:jc w:val="right"/>
      <w:rPr>
        <w:rFonts w:ascii="Times New Roman" w:hAnsi="Times New Roman" w:cs="Times New Roman"/>
        <w:sz w:val="24"/>
        <w:szCs w:val="24"/>
      </w:rPr>
    </w:pPr>
    <w:r w:rsidRPr="00BB2E4F">
      <w:rPr>
        <w:rFonts w:ascii="Times New Roman" w:hAnsi="Times New Roman" w:cs="Times New Roman"/>
        <w:sz w:val="24"/>
        <w:szCs w:val="24"/>
      </w:rPr>
      <w:t>Running head:</w:t>
    </w:r>
    <w:r w:rsidR="00567E9F">
      <w:rPr>
        <w:rFonts w:ascii="Times New Roman" w:hAnsi="Times New Roman" w:cs="Times New Roman"/>
        <w:sz w:val="24"/>
        <w:szCs w:val="24"/>
      </w:rPr>
      <w:t xml:space="preserve"> CONTROL OF GUN VIOLENCE IN CANADA</w:t>
    </w:r>
    <w:r w:rsidRPr="00BB2E4F">
      <w:rPr>
        <w:rFonts w:ascii="Times New Roman" w:hAnsi="Times New Roman" w:cs="Times New Roman"/>
        <w:sz w:val="24"/>
        <w:szCs w:val="24"/>
      </w:rPr>
      <w:tab/>
    </w:r>
    <w:sdt>
      <w:sdtPr>
        <w:rPr>
          <w:rFonts w:ascii="Times New Roman" w:hAnsi="Times New Roman" w:cs="Times New Roman"/>
          <w:sz w:val="24"/>
          <w:szCs w:val="24"/>
        </w:rPr>
        <w:id w:val="24347991"/>
        <w:docPartObj>
          <w:docPartGallery w:val="Page Numbers (Top of Page)"/>
          <w:docPartUnique/>
        </w:docPartObj>
      </w:sdtPr>
      <w:sdtContent>
        <w:r w:rsidRPr="00BB2E4F">
          <w:rPr>
            <w:rFonts w:ascii="Times New Roman" w:hAnsi="Times New Roman" w:cs="Times New Roman"/>
            <w:sz w:val="24"/>
            <w:szCs w:val="24"/>
          </w:rPr>
          <w:fldChar w:fldCharType="begin"/>
        </w:r>
        <w:r w:rsidRPr="00BB2E4F">
          <w:rPr>
            <w:rFonts w:ascii="Times New Roman" w:hAnsi="Times New Roman" w:cs="Times New Roman"/>
            <w:sz w:val="24"/>
            <w:szCs w:val="24"/>
          </w:rPr>
          <w:instrText xml:space="preserve"> PAGE   \* MERGEFORMAT </w:instrText>
        </w:r>
        <w:r w:rsidRPr="00BB2E4F">
          <w:rPr>
            <w:rFonts w:ascii="Times New Roman" w:hAnsi="Times New Roman" w:cs="Times New Roman"/>
            <w:sz w:val="24"/>
            <w:szCs w:val="24"/>
          </w:rPr>
          <w:fldChar w:fldCharType="separate"/>
        </w:r>
        <w:r w:rsidR="00567E9F">
          <w:rPr>
            <w:rFonts w:ascii="Times New Roman" w:hAnsi="Times New Roman" w:cs="Times New Roman"/>
            <w:noProof/>
            <w:sz w:val="24"/>
            <w:szCs w:val="24"/>
          </w:rPr>
          <w:t>1</w:t>
        </w:r>
        <w:r w:rsidRPr="00BB2E4F">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D0502"/>
    <w:multiLevelType w:val="hybridMultilevel"/>
    <w:tmpl w:val="818E9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2E75055"/>
    <w:multiLevelType w:val="hybridMultilevel"/>
    <w:tmpl w:val="16EEF418"/>
    <w:lvl w:ilvl="0" w:tplc="1E227C72">
      <w:start w:val="1"/>
      <w:numFmt w:val="bullet"/>
      <w:lvlText w:val=""/>
      <w:lvlJc w:val="left"/>
      <w:pPr>
        <w:ind w:left="720" w:hanging="360"/>
      </w:pPr>
      <w:rPr>
        <w:rFonts w:ascii="Symbol" w:hAnsi="Symbol" w:hint="default"/>
      </w:rPr>
    </w:lvl>
    <w:lvl w:ilvl="1" w:tplc="C4F80F3A" w:tentative="1">
      <w:start w:val="1"/>
      <w:numFmt w:val="bullet"/>
      <w:lvlText w:val="o"/>
      <w:lvlJc w:val="left"/>
      <w:pPr>
        <w:ind w:left="1440" w:hanging="360"/>
      </w:pPr>
      <w:rPr>
        <w:rFonts w:ascii="Courier New" w:hAnsi="Courier New" w:cs="Courier New" w:hint="default"/>
      </w:rPr>
    </w:lvl>
    <w:lvl w:ilvl="2" w:tplc="95AEE136" w:tentative="1">
      <w:start w:val="1"/>
      <w:numFmt w:val="bullet"/>
      <w:lvlText w:val=""/>
      <w:lvlJc w:val="left"/>
      <w:pPr>
        <w:ind w:left="2160" w:hanging="360"/>
      </w:pPr>
      <w:rPr>
        <w:rFonts w:ascii="Wingdings" w:hAnsi="Wingdings" w:hint="default"/>
      </w:rPr>
    </w:lvl>
    <w:lvl w:ilvl="3" w:tplc="50486694" w:tentative="1">
      <w:start w:val="1"/>
      <w:numFmt w:val="bullet"/>
      <w:lvlText w:val=""/>
      <w:lvlJc w:val="left"/>
      <w:pPr>
        <w:ind w:left="2880" w:hanging="360"/>
      </w:pPr>
      <w:rPr>
        <w:rFonts w:ascii="Symbol" w:hAnsi="Symbol" w:hint="default"/>
      </w:rPr>
    </w:lvl>
    <w:lvl w:ilvl="4" w:tplc="C136A886" w:tentative="1">
      <w:start w:val="1"/>
      <w:numFmt w:val="bullet"/>
      <w:lvlText w:val="o"/>
      <w:lvlJc w:val="left"/>
      <w:pPr>
        <w:ind w:left="3600" w:hanging="360"/>
      </w:pPr>
      <w:rPr>
        <w:rFonts w:ascii="Courier New" w:hAnsi="Courier New" w:cs="Courier New" w:hint="default"/>
      </w:rPr>
    </w:lvl>
    <w:lvl w:ilvl="5" w:tplc="AA286D68" w:tentative="1">
      <w:start w:val="1"/>
      <w:numFmt w:val="bullet"/>
      <w:lvlText w:val=""/>
      <w:lvlJc w:val="left"/>
      <w:pPr>
        <w:ind w:left="4320" w:hanging="360"/>
      </w:pPr>
      <w:rPr>
        <w:rFonts w:ascii="Wingdings" w:hAnsi="Wingdings" w:hint="default"/>
      </w:rPr>
    </w:lvl>
    <w:lvl w:ilvl="6" w:tplc="C7686A7A" w:tentative="1">
      <w:start w:val="1"/>
      <w:numFmt w:val="bullet"/>
      <w:lvlText w:val=""/>
      <w:lvlJc w:val="left"/>
      <w:pPr>
        <w:ind w:left="5040" w:hanging="360"/>
      </w:pPr>
      <w:rPr>
        <w:rFonts w:ascii="Symbol" w:hAnsi="Symbol" w:hint="default"/>
      </w:rPr>
    </w:lvl>
    <w:lvl w:ilvl="7" w:tplc="40207D8E" w:tentative="1">
      <w:start w:val="1"/>
      <w:numFmt w:val="bullet"/>
      <w:lvlText w:val="o"/>
      <w:lvlJc w:val="left"/>
      <w:pPr>
        <w:ind w:left="5760" w:hanging="360"/>
      </w:pPr>
      <w:rPr>
        <w:rFonts w:ascii="Courier New" w:hAnsi="Courier New" w:cs="Courier New" w:hint="default"/>
      </w:rPr>
    </w:lvl>
    <w:lvl w:ilvl="8" w:tplc="29E6D9E6"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wNrG0sDC2MLQwsTBQ0lEKTi0uzszPAykwqgUA0j3MyiwAAAA="/>
  </w:docVars>
  <w:rsids>
    <w:rsidRoot w:val="00551F86"/>
    <w:rsid w:val="0001627B"/>
    <w:rsid w:val="00073C2B"/>
    <w:rsid w:val="000D4CC9"/>
    <w:rsid w:val="000F0892"/>
    <w:rsid w:val="00393E8E"/>
    <w:rsid w:val="003C6460"/>
    <w:rsid w:val="003F2B0B"/>
    <w:rsid w:val="00527F1D"/>
    <w:rsid w:val="00551F86"/>
    <w:rsid w:val="00567E9F"/>
    <w:rsid w:val="00573A24"/>
    <w:rsid w:val="00592136"/>
    <w:rsid w:val="005A1813"/>
    <w:rsid w:val="005A1BBB"/>
    <w:rsid w:val="005B6709"/>
    <w:rsid w:val="005D3E93"/>
    <w:rsid w:val="005F1B45"/>
    <w:rsid w:val="005F5AD6"/>
    <w:rsid w:val="00666FDD"/>
    <w:rsid w:val="007646B1"/>
    <w:rsid w:val="00775332"/>
    <w:rsid w:val="007900C6"/>
    <w:rsid w:val="007A17B3"/>
    <w:rsid w:val="007A480B"/>
    <w:rsid w:val="007F3D7B"/>
    <w:rsid w:val="00823AAC"/>
    <w:rsid w:val="00862569"/>
    <w:rsid w:val="008D3968"/>
    <w:rsid w:val="008D715D"/>
    <w:rsid w:val="009347BE"/>
    <w:rsid w:val="00946D38"/>
    <w:rsid w:val="009513B1"/>
    <w:rsid w:val="009A5F90"/>
    <w:rsid w:val="009C7D36"/>
    <w:rsid w:val="009F5208"/>
    <w:rsid w:val="00A057D4"/>
    <w:rsid w:val="00A07667"/>
    <w:rsid w:val="00A218CE"/>
    <w:rsid w:val="00A273DD"/>
    <w:rsid w:val="00A72E95"/>
    <w:rsid w:val="00A73E7D"/>
    <w:rsid w:val="00AA649C"/>
    <w:rsid w:val="00B00222"/>
    <w:rsid w:val="00B10B99"/>
    <w:rsid w:val="00B53071"/>
    <w:rsid w:val="00B758BD"/>
    <w:rsid w:val="00BA18F7"/>
    <w:rsid w:val="00BB2E4F"/>
    <w:rsid w:val="00BB5744"/>
    <w:rsid w:val="00BE5080"/>
    <w:rsid w:val="00C730FE"/>
    <w:rsid w:val="00C92C83"/>
    <w:rsid w:val="00CB5CEE"/>
    <w:rsid w:val="00CC5B28"/>
    <w:rsid w:val="00CE7A3A"/>
    <w:rsid w:val="00D042FB"/>
    <w:rsid w:val="00D11BF7"/>
    <w:rsid w:val="00D46E7B"/>
    <w:rsid w:val="00D81634"/>
    <w:rsid w:val="00DA4520"/>
    <w:rsid w:val="00DC5DC3"/>
    <w:rsid w:val="00DF33A1"/>
    <w:rsid w:val="00E97583"/>
    <w:rsid w:val="00EA50C6"/>
    <w:rsid w:val="00ED0774"/>
    <w:rsid w:val="00F017A7"/>
    <w:rsid w:val="00F135DF"/>
    <w:rsid w:val="00F26289"/>
    <w:rsid w:val="00F46ACF"/>
    <w:rsid w:val="00F643CA"/>
    <w:rsid w:val="00F75636"/>
    <w:rsid w:val="00F95CAB"/>
    <w:rsid w:val="00FC07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FDD"/>
  </w:style>
  <w:style w:type="paragraph" w:styleId="Heading1">
    <w:name w:val="heading 1"/>
    <w:basedOn w:val="Normal"/>
    <w:next w:val="Normal"/>
    <w:link w:val="Heading1Char"/>
    <w:uiPriority w:val="9"/>
    <w:qFormat/>
    <w:rsid w:val="00EA50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551F86"/>
  </w:style>
  <w:style w:type="character" w:customStyle="1" w:styleId="Heading1Char">
    <w:name w:val="Heading 1 Char"/>
    <w:basedOn w:val="DefaultParagraphFont"/>
    <w:link w:val="Heading1"/>
    <w:uiPriority w:val="9"/>
    <w:rsid w:val="00EA50C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A50C6"/>
    <w:pPr>
      <w:ind w:left="720"/>
      <w:contextualSpacing/>
    </w:pPr>
  </w:style>
  <w:style w:type="paragraph" w:styleId="Header">
    <w:name w:val="header"/>
    <w:basedOn w:val="Normal"/>
    <w:link w:val="HeaderChar"/>
    <w:uiPriority w:val="99"/>
    <w:unhideWhenUsed/>
    <w:rsid w:val="008625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2569"/>
  </w:style>
  <w:style w:type="paragraph" w:styleId="Footer">
    <w:name w:val="footer"/>
    <w:basedOn w:val="Normal"/>
    <w:link w:val="FooterChar"/>
    <w:uiPriority w:val="99"/>
    <w:unhideWhenUsed/>
    <w:rsid w:val="008625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2569"/>
  </w:style>
  <w:style w:type="paragraph" w:styleId="Subtitle">
    <w:name w:val="Subtitle"/>
    <w:basedOn w:val="Normal"/>
    <w:next w:val="Normal"/>
    <w:link w:val="SubtitleChar"/>
    <w:uiPriority w:val="11"/>
    <w:qFormat/>
    <w:rsid w:val="00BB2E4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2E4F"/>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11164186">
      <w:bodyDiv w:val="1"/>
      <w:marLeft w:val="0"/>
      <w:marRight w:val="0"/>
      <w:marTop w:val="0"/>
      <w:marBottom w:val="0"/>
      <w:divBdr>
        <w:top w:val="none" w:sz="0" w:space="0" w:color="auto"/>
        <w:left w:val="none" w:sz="0" w:space="0" w:color="auto"/>
        <w:bottom w:val="none" w:sz="0" w:space="0" w:color="auto"/>
        <w:right w:val="none" w:sz="0" w:space="0" w:color="auto"/>
      </w:divBdr>
      <w:divsChild>
        <w:div w:id="1606041593">
          <w:marLeft w:val="0"/>
          <w:marRight w:val="0"/>
          <w:marTop w:val="0"/>
          <w:marBottom w:val="0"/>
          <w:divBdr>
            <w:top w:val="none" w:sz="0" w:space="0" w:color="auto"/>
            <w:left w:val="none" w:sz="0" w:space="0" w:color="auto"/>
            <w:bottom w:val="none" w:sz="0" w:space="0" w:color="auto"/>
            <w:right w:val="none" w:sz="0" w:space="0" w:color="auto"/>
          </w:divBdr>
          <w:divsChild>
            <w:div w:id="133839685">
              <w:marLeft w:val="0"/>
              <w:marRight w:val="0"/>
              <w:marTop w:val="0"/>
              <w:marBottom w:val="0"/>
              <w:divBdr>
                <w:top w:val="none" w:sz="0" w:space="0" w:color="auto"/>
                <w:left w:val="none" w:sz="0" w:space="0" w:color="auto"/>
                <w:bottom w:val="none" w:sz="0" w:space="0" w:color="auto"/>
                <w:right w:val="none" w:sz="0" w:space="0" w:color="auto"/>
              </w:divBdr>
              <w:divsChild>
                <w:div w:id="155250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1842</Words>
  <Characters>10503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2019-11-12T12:03:00Z</dcterms:created>
  <dcterms:modified xsi:type="dcterms:W3CDTF">2019-11-12T12:03:00Z</dcterms:modified>
</cp:coreProperties>
</file>