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3D73D1" w14:textId="77777777" w:rsidR="00FB2E42" w:rsidRDefault="00FB2E42" w:rsidP="00FB2E42">
      <w:pPr>
        <w:spacing w:line="276" w:lineRule="auto"/>
        <w:ind w:firstLine="720"/>
        <w:jc w:val="center"/>
        <w:rPr>
          <w:rFonts w:ascii="Times New Roman" w:hAnsi="Times New Roman" w:cs="Times New Roman"/>
          <w:sz w:val="24"/>
          <w:szCs w:val="24"/>
        </w:rPr>
      </w:pPr>
      <w:r>
        <w:rPr>
          <w:rFonts w:ascii="Times New Roman" w:hAnsi="Times New Roman" w:cs="Times New Roman"/>
          <w:sz w:val="24"/>
          <w:szCs w:val="24"/>
        </w:rPr>
        <w:t>Workshop #2</w:t>
      </w:r>
    </w:p>
    <w:p w14:paraId="73911B73" w14:textId="77777777" w:rsidR="00FB2E42" w:rsidRDefault="00FB2E42" w:rsidP="00FB2E42">
      <w:pPr>
        <w:spacing w:line="276" w:lineRule="auto"/>
        <w:rPr>
          <w:rFonts w:ascii="Times New Roman" w:hAnsi="Times New Roman" w:cs="Times New Roman"/>
          <w:b/>
          <w:bCs/>
          <w:sz w:val="24"/>
          <w:szCs w:val="24"/>
        </w:rPr>
      </w:pPr>
      <w:r>
        <w:rPr>
          <w:rFonts w:ascii="Times New Roman" w:hAnsi="Times New Roman" w:cs="Times New Roman"/>
          <w:b/>
          <w:bCs/>
          <w:sz w:val="24"/>
          <w:szCs w:val="24"/>
        </w:rPr>
        <w:t>Introduction</w:t>
      </w:r>
    </w:p>
    <w:p w14:paraId="20D6F4CE" w14:textId="77777777" w:rsidR="00FB2E42" w:rsidRDefault="00FB2E42" w:rsidP="00FB2E42">
      <w:pPr>
        <w:spacing w:line="276" w:lineRule="auto"/>
        <w:ind w:firstLine="720"/>
        <w:rPr>
          <w:rFonts w:ascii="Times New Roman" w:hAnsi="Times New Roman" w:cs="Times New Roman"/>
          <w:sz w:val="24"/>
          <w:szCs w:val="24"/>
        </w:rPr>
      </w:pPr>
      <w:r>
        <w:rPr>
          <w:rFonts w:ascii="Times New Roman" w:hAnsi="Times New Roman" w:cs="Times New Roman"/>
          <w:sz w:val="24"/>
          <w:szCs w:val="24"/>
        </w:rPr>
        <w:t xml:space="preserve">Mary McLeod Bethune and Audre Lorde both wrote essays that were targeted specifically to the white women of their time. Each of the author’s works can be summed up as a plea from black women for assistance and support from said targeted audience. Bethune’s “Southern Negro Women and Race Cooperation” and Lorde’s “The Master’s Tools Will Never Dismantle the </w:t>
      </w:r>
      <w:proofErr w:type="gramStart"/>
      <w:r>
        <w:rPr>
          <w:rFonts w:ascii="Times New Roman" w:hAnsi="Times New Roman" w:cs="Times New Roman"/>
          <w:sz w:val="24"/>
          <w:szCs w:val="24"/>
        </w:rPr>
        <w:t>Master’s</w:t>
      </w:r>
      <w:proofErr w:type="gramEnd"/>
      <w:r>
        <w:rPr>
          <w:rFonts w:ascii="Times New Roman" w:hAnsi="Times New Roman" w:cs="Times New Roman"/>
          <w:sz w:val="24"/>
          <w:szCs w:val="24"/>
        </w:rPr>
        <w:t xml:space="preserve"> House” share such a numerous amount of similarities, that Lorde’s work is akin to an updated modern version of Bethune’s. However, although the authors are attempting to relay identical messages, Lorde’s tone is confident, bold, and non-withholding; these attributes encompass what it means to be assertive. In turn, the assertiveness that Lorde channels throughout her text leads to a more effective essay because that specific tone makes her poin</w:t>
      </w:r>
      <w:bookmarkStart w:id="0" w:name="_GoBack"/>
      <w:bookmarkEnd w:id="0"/>
      <w:r>
        <w:rPr>
          <w:rFonts w:ascii="Times New Roman" w:hAnsi="Times New Roman" w:cs="Times New Roman"/>
          <w:sz w:val="24"/>
          <w:szCs w:val="24"/>
        </w:rPr>
        <w:t xml:space="preserve">t sound more critical, the overall text comes off as a demand for justice rather than a plea for support, and it is exceptionally more convincing. </w:t>
      </w:r>
    </w:p>
    <w:p w14:paraId="717A3735" w14:textId="77777777" w:rsidR="00FB2E42" w:rsidRDefault="00FB2E42" w:rsidP="00FB2E42">
      <w:pPr>
        <w:spacing w:line="276" w:lineRule="auto"/>
        <w:rPr>
          <w:rFonts w:ascii="Times New Roman" w:hAnsi="Times New Roman" w:cs="Times New Roman"/>
          <w:b/>
          <w:bCs/>
          <w:sz w:val="24"/>
          <w:szCs w:val="24"/>
        </w:rPr>
      </w:pPr>
      <w:r>
        <w:rPr>
          <w:rFonts w:ascii="Times New Roman" w:hAnsi="Times New Roman" w:cs="Times New Roman"/>
          <w:b/>
          <w:bCs/>
          <w:sz w:val="24"/>
          <w:szCs w:val="24"/>
        </w:rPr>
        <w:t>Topic #1/One Body Paragraph with One Cited Textual Example and One Secondary Source, with a Counterargument</w:t>
      </w:r>
    </w:p>
    <w:p w14:paraId="78A4EB2E" w14:textId="77777777" w:rsidR="00FB2E42" w:rsidRPr="00D3069E" w:rsidRDefault="00FB2E42" w:rsidP="00FB2E42">
      <w:pPr>
        <w:spacing w:line="276" w:lineRule="auto"/>
        <w:ind w:firstLine="720"/>
        <w:rPr>
          <w:rFonts w:ascii="Times New Roman" w:hAnsi="Times New Roman" w:cs="Times New Roman"/>
          <w:sz w:val="24"/>
          <w:szCs w:val="24"/>
        </w:rPr>
      </w:pPr>
      <w:r>
        <w:rPr>
          <w:rFonts w:ascii="Times New Roman" w:hAnsi="Times New Roman" w:cs="Times New Roman"/>
          <w:sz w:val="24"/>
          <w:szCs w:val="24"/>
        </w:rPr>
        <w:t xml:space="preserve">Bethune and Lorde both believe that women of color are poorly represented in the feminist movement, but Lorde’s tone executes her thoughts more concisely in a manner that makes her points appear to be more critical. In her essay, she </w:t>
      </w:r>
      <w:proofErr w:type="spellStart"/>
      <w:r>
        <w:rPr>
          <w:rFonts w:ascii="Times New Roman" w:hAnsi="Times New Roman" w:cs="Times New Roman"/>
          <w:sz w:val="24"/>
          <w:szCs w:val="24"/>
        </w:rPr>
        <w:t>askes</w:t>
      </w:r>
      <w:proofErr w:type="spellEnd"/>
      <w:r>
        <w:rPr>
          <w:rFonts w:ascii="Times New Roman" w:hAnsi="Times New Roman" w:cs="Times New Roman"/>
          <w:sz w:val="24"/>
          <w:szCs w:val="24"/>
        </w:rPr>
        <w:t xml:space="preserve">, “White feminists have educated themselves about such an enormous amount over the past ten years, how come you haven’t also educated yourselves about Black women and the differences between us – white and Black – when it is key to our survival as a movement?” (113). Lorde’s question to white women is direct and in her accusation of white women not educating themselves on black women, she states that their support is “key” to the feminist movement. Therefore, she is not only direct, but concise in her resolution of white and black women uniting together. The accusation and tone create a critical impact in her favor, which are effective to her message. In Bethune’s essay, she begins by saying, “We desire to state our position on some </w:t>
      </w:r>
      <w:proofErr w:type="spellStart"/>
      <w:r>
        <w:rPr>
          <w:rFonts w:ascii="Times New Roman" w:hAnsi="Times New Roman" w:cs="Times New Roman"/>
          <w:sz w:val="24"/>
          <w:szCs w:val="24"/>
        </w:rPr>
        <w:t>maters</w:t>
      </w:r>
      <w:proofErr w:type="spellEnd"/>
      <w:r>
        <w:rPr>
          <w:rFonts w:ascii="Times New Roman" w:hAnsi="Times New Roman" w:cs="Times New Roman"/>
          <w:sz w:val="24"/>
          <w:szCs w:val="24"/>
        </w:rPr>
        <w:t xml:space="preserve"> relating to the welfare of colored people and to enlist the sympathy and cooperation of Southern white women in the interest of better understandings and better conditions, as these affect the relations between white and colored people” (140). After this, Bethune expresses gratification for the current and growing awareness of white women concerning race relations, then discusses hopes for better living conditions for colored </w:t>
      </w:r>
      <w:proofErr w:type="gramStart"/>
      <w:r>
        <w:rPr>
          <w:rFonts w:ascii="Times New Roman" w:hAnsi="Times New Roman" w:cs="Times New Roman"/>
          <w:sz w:val="24"/>
          <w:szCs w:val="24"/>
        </w:rPr>
        <w:t>women, and</w:t>
      </w:r>
      <w:proofErr w:type="gramEnd"/>
      <w:r>
        <w:rPr>
          <w:rFonts w:ascii="Times New Roman" w:hAnsi="Times New Roman" w:cs="Times New Roman"/>
          <w:sz w:val="24"/>
          <w:szCs w:val="24"/>
        </w:rPr>
        <w:t xml:space="preserve"> ends by stating that they will continue to serve for their country and once again expressing gratitude. The difference in this from Lorde’s essay is the fact that Bethune took a roundabout way in arriving to her point and then deescalated after her point was made. Now, an argument could be made that conciseness does not contribute to an essay’s effectiveness, but that is not the case. As Bart </w:t>
      </w:r>
      <w:proofErr w:type="spellStart"/>
      <w:r>
        <w:rPr>
          <w:rFonts w:ascii="Times New Roman" w:hAnsi="Times New Roman" w:cs="Times New Roman"/>
          <w:sz w:val="24"/>
          <w:szCs w:val="24"/>
        </w:rPr>
        <w:t>Egnal</w:t>
      </w:r>
      <w:proofErr w:type="spellEnd"/>
      <w:r>
        <w:rPr>
          <w:rFonts w:ascii="Times New Roman" w:hAnsi="Times New Roman" w:cs="Times New Roman"/>
          <w:sz w:val="24"/>
          <w:szCs w:val="24"/>
        </w:rPr>
        <w:t xml:space="preserve"> states in his book </w:t>
      </w:r>
      <w:r>
        <w:rPr>
          <w:rFonts w:ascii="Times New Roman" w:hAnsi="Times New Roman" w:cs="Times New Roman"/>
          <w:i/>
          <w:iCs/>
          <w:sz w:val="24"/>
          <w:szCs w:val="24"/>
        </w:rPr>
        <w:t>Leading Through Language: Choosing Words that Influence and Inspire</w:t>
      </w:r>
      <w:r>
        <w:rPr>
          <w:rFonts w:ascii="Times New Roman" w:hAnsi="Times New Roman" w:cs="Times New Roman"/>
          <w:sz w:val="24"/>
          <w:szCs w:val="24"/>
        </w:rPr>
        <w:t xml:space="preserve">, “Yet, though we are listening to more </w:t>
      </w:r>
      <w:r>
        <w:rPr>
          <w:rFonts w:ascii="Times New Roman" w:hAnsi="Times New Roman" w:cs="Times New Roman"/>
          <w:i/>
          <w:iCs/>
          <w:sz w:val="24"/>
          <w:szCs w:val="24"/>
        </w:rPr>
        <w:t>words</w:t>
      </w:r>
      <w:r>
        <w:rPr>
          <w:rFonts w:ascii="Times New Roman" w:hAnsi="Times New Roman" w:cs="Times New Roman"/>
          <w:sz w:val="24"/>
          <w:szCs w:val="24"/>
        </w:rPr>
        <w:t xml:space="preserve"> than ever before, it can be hard to find powerful ideas within them. Great ideas are </w:t>
      </w:r>
      <w:r>
        <w:rPr>
          <w:rFonts w:ascii="Times New Roman" w:hAnsi="Times New Roman" w:cs="Times New Roman"/>
          <w:sz w:val="24"/>
          <w:szCs w:val="24"/>
        </w:rPr>
        <w:lastRenderedPageBreak/>
        <w:t xml:space="preserve">drowned out” (188-189). In this case, it stands that Lorde’s concise argument leads directly to a powerful idea, thus making her essay more effective in its assertiveness. </w:t>
      </w:r>
    </w:p>
    <w:p w14:paraId="69DF3886" w14:textId="77777777" w:rsidR="00FB2E42" w:rsidRDefault="00FB2E42" w:rsidP="00FB2E42">
      <w:pPr>
        <w:spacing w:line="276" w:lineRule="auto"/>
        <w:rPr>
          <w:rFonts w:ascii="Times New Roman" w:hAnsi="Times New Roman" w:cs="Times New Roman"/>
          <w:b/>
          <w:bCs/>
          <w:sz w:val="24"/>
          <w:szCs w:val="24"/>
        </w:rPr>
      </w:pPr>
      <w:r>
        <w:rPr>
          <w:rFonts w:ascii="Times New Roman" w:hAnsi="Times New Roman" w:cs="Times New Roman"/>
          <w:b/>
          <w:bCs/>
          <w:sz w:val="24"/>
          <w:szCs w:val="24"/>
        </w:rPr>
        <w:t>Topic #2</w:t>
      </w:r>
    </w:p>
    <w:p w14:paraId="33884D6A" w14:textId="77777777" w:rsidR="00FB2E42" w:rsidRDefault="00FB2E42" w:rsidP="00FB2E42">
      <w:pPr>
        <w:spacing w:line="276" w:lineRule="auto"/>
        <w:ind w:firstLine="720"/>
        <w:rPr>
          <w:rFonts w:ascii="Times New Roman" w:hAnsi="Times New Roman" w:cs="Times New Roman"/>
          <w:sz w:val="24"/>
          <w:szCs w:val="24"/>
        </w:rPr>
      </w:pPr>
      <w:r>
        <w:rPr>
          <w:rFonts w:ascii="Times New Roman" w:hAnsi="Times New Roman" w:cs="Times New Roman"/>
          <w:sz w:val="24"/>
          <w:szCs w:val="24"/>
        </w:rPr>
        <w:t xml:space="preserve">Overall, Bethune’s text can be surmised as a polite request for white women’s help, whereas Lorde is demanding the inclusion of all women in the feminist movement that she says predominantly led by white women. </w:t>
      </w:r>
    </w:p>
    <w:p w14:paraId="0F0EA218" w14:textId="77777777" w:rsidR="00FB2E42" w:rsidRDefault="00FB2E42" w:rsidP="00FB2E42">
      <w:pPr>
        <w:spacing w:line="276" w:lineRule="auto"/>
        <w:ind w:firstLine="720"/>
        <w:rPr>
          <w:rFonts w:ascii="Times New Roman" w:hAnsi="Times New Roman" w:cs="Times New Roman"/>
          <w:sz w:val="24"/>
          <w:szCs w:val="24"/>
        </w:rPr>
      </w:pPr>
    </w:p>
    <w:p w14:paraId="3F6D2A3E" w14:textId="77777777" w:rsidR="00FB2E42" w:rsidRDefault="00FB2E42" w:rsidP="00FB2E42">
      <w:pPr>
        <w:spacing w:line="276" w:lineRule="auto"/>
        <w:rPr>
          <w:rFonts w:ascii="Times New Roman" w:hAnsi="Times New Roman" w:cs="Times New Roman"/>
          <w:b/>
          <w:bCs/>
          <w:sz w:val="24"/>
          <w:szCs w:val="24"/>
        </w:rPr>
      </w:pPr>
      <w:r>
        <w:rPr>
          <w:rFonts w:ascii="Times New Roman" w:hAnsi="Times New Roman" w:cs="Times New Roman"/>
          <w:b/>
          <w:bCs/>
          <w:sz w:val="24"/>
          <w:szCs w:val="24"/>
        </w:rPr>
        <w:t>Topic #3</w:t>
      </w:r>
    </w:p>
    <w:p w14:paraId="59FA56DA" w14:textId="77777777" w:rsidR="00FB2E42" w:rsidRPr="00740CB7" w:rsidRDefault="00FB2E42" w:rsidP="00FB2E42">
      <w:pPr>
        <w:spacing w:line="276" w:lineRule="auto"/>
        <w:ind w:firstLine="720"/>
        <w:rPr>
          <w:rFonts w:ascii="Times New Roman" w:hAnsi="Times New Roman" w:cs="Times New Roman"/>
          <w:sz w:val="24"/>
          <w:szCs w:val="24"/>
        </w:rPr>
      </w:pPr>
      <w:r>
        <w:rPr>
          <w:rFonts w:ascii="Times New Roman" w:hAnsi="Times New Roman" w:cs="Times New Roman"/>
          <w:sz w:val="24"/>
          <w:szCs w:val="24"/>
        </w:rPr>
        <w:t xml:space="preserve">Lorde’s essay is more convincing, attributable to the use of assertiveness in her text.  </w:t>
      </w:r>
    </w:p>
    <w:p w14:paraId="73E2CA39" w14:textId="77777777" w:rsidR="00FB2E42" w:rsidRPr="00672B14" w:rsidRDefault="00FB2E42" w:rsidP="00FB2E42">
      <w:pPr>
        <w:spacing w:line="276" w:lineRule="auto"/>
        <w:rPr>
          <w:rFonts w:ascii="Times New Roman" w:hAnsi="Times New Roman" w:cs="Times New Roman"/>
          <w:b/>
          <w:sz w:val="24"/>
          <w:szCs w:val="24"/>
        </w:rPr>
      </w:pPr>
      <w:r w:rsidRPr="00672B14">
        <w:rPr>
          <w:rFonts w:ascii="Times New Roman" w:hAnsi="Times New Roman" w:cs="Times New Roman"/>
          <w:b/>
          <w:sz w:val="24"/>
          <w:szCs w:val="24"/>
        </w:rPr>
        <w:t>MLA Citation</w:t>
      </w:r>
    </w:p>
    <w:p w14:paraId="5E74F586" w14:textId="77777777" w:rsidR="00FB2E42" w:rsidRPr="001C249D" w:rsidRDefault="00FB2E42" w:rsidP="00FB2E42">
      <w:pPr>
        <w:spacing w:line="276" w:lineRule="auto"/>
        <w:ind w:firstLine="720"/>
        <w:rPr>
          <w:rFonts w:ascii="Times New Roman" w:hAnsi="Times New Roman" w:cs="Times New Roman"/>
          <w:color w:val="333333"/>
          <w:sz w:val="24"/>
          <w:szCs w:val="24"/>
          <w:shd w:val="clear" w:color="auto" w:fill="FFFFFF"/>
        </w:rPr>
      </w:pPr>
      <w:proofErr w:type="spellStart"/>
      <w:r>
        <w:rPr>
          <w:rFonts w:ascii="Times New Roman" w:hAnsi="Times New Roman" w:cs="Times New Roman"/>
          <w:color w:val="333333"/>
          <w:sz w:val="24"/>
          <w:szCs w:val="24"/>
          <w:shd w:val="clear" w:color="auto" w:fill="FFFFFF"/>
        </w:rPr>
        <w:t>Egnal</w:t>
      </w:r>
      <w:proofErr w:type="spellEnd"/>
      <w:r>
        <w:rPr>
          <w:rFonts w:ascii="Times New Roman" w:hAnsi="Times New Roman" w:cs="Times New Roman"/>
          <w:color w:val="333333"/>
          <w:sz w:val="24"/>
          <w:szCs w:val="24"/>
          <w:shd w:val="clear" w:color="auto" w:fill="FFFFFF"/>
        </w:rPr>
        <w:t xml:space="preserve">, Bart. “The Language of Leadership Is…Concise.” </w:t>
      </w:r>
      <w:r>
        <w:rPr>
          <w:rFonts w:ascii="Times New Roman" w:hAnsi="Times New Roman" w:cs="Times New Roman"/>
          <w:i/>
          <w:iCs/>
          <w:color w:val="333333"/>
          <w:sz w:val="24"/>
          <w:szCs w:val="24"/>
          <w:shd w:val="clear" w:color="auto" w:fill="FFFFFF"/>
        </w:rPr>
        <w:t>Leading Through Language: Choosing Words that Influence and Inspire</w:t>
      </w:r>
      <w:r>
        <w:rPr>
          <w:rFonts w:ascii="Times New Roman" w:hAnsi="Times New Roman" w:cs="Times New Roman"/>
          <w:color w:val="333333"/>
          <w:sz w:val="24"/>
          <w:szCs w:val="24"/>
          <w:shd w:val="clear" w:color="auto" w:fill="FFFFFF"/>
        </w:rPr>
        <w:t xml:space="preserve">, John Wiley &amp; Sons, Inc., 2015, pp. 187-196. </w:t>
      </w:r>
    </w:p>
    <w:p w14:paraId="47FC0998" w14:textId="77777777" w:rsidR="00FB2E42" w:rsidRPr="00672B14" w:rsidRDefault="00FB2E42" w:rsidP="00FB2E42">
      <w:pPr>
        <w:spacing w:line="276" w:lineRule="auto"/>
        <w:ind w:firstLine="720"/>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Kolmar, Wendy K., and Frances </w:t>
      </w:r>
      <w:proofErr w:type="spellStart"/>
      <w:r>
        <w:rPr>
          <w:rFonts w:ascii="Times New Roman" w:hAnsi="Times New Roman" w:cs="Times New Roman"/>
          <w:color w:val="333333"/>
          <w:sz w:val="24"/>
          <w:szCs w:val="24"/>
          <w:shd w:val="clear" w:color="auto" w:fill="FFFFFF"/>
        </w:rPr>
        <w:t>Bartkowski</w:t>
      </w:r>
      <w:proofErr w:type="spellEnd"/>
      <w:r>
        <w:rPr>
          <w:rFonts w:ascii="Times New Roman" w:hAnsi="Times New Roman" w:cs="Times New Roman"/>
          <w:color w:val="333333"/>
          <w:sz w:val="24"/>
          <w:szCs w:val="24"/>
          <w:shd w:val="clear" w:color="auto" w:fill="FFFFFF"/>
        </w:rPr>
        <w:t xml:space="preserve">. “Southern Negro Women and Race Cooperation.”  </w:t>
      </w:r>
      <w:r>
        <w:rPr>
          <w:rFonts w:ascii="Times New Roman" w:hAnsi="Times New Roman" w:cs="Times New Roman"/>
          <w:i/>
          <w:iCs/>
          <w:color w:val="333333"/>
          <w:sz w:val="24"/>
          <w:szCs w:val="24"/>
          <w:shd w:val="clear" w:color="auto" w:fill="FFFFFF"/>
        </w:rPr>
        <w:t xml:space="preserve">Feminist Theory: </w:t>
      </w:r>
      <w:proofErr w:type="gramStart"/>
      <w:r>
        <w:rPr>
          <w:rFonts w:ascii="Times New Roman" w:hAnsi="Times New Roman" w:cs="Times New Roman"/>
          <w:color w:val="333333"/>
          <w:sz w:val="24"/>
          <w:szCs w:val="24"/>
          <w:shd w:val="clear" w:color="auto" w:fill="FFFFFF"/>
        </w:rPr>
        <w:t>a</w:t>
      </w:r>
      <w:proofErr w:type="gramEnd"/>
      <w:r>
        <w:rPr>
          <w:rFonts w:ascii="Times New Roman" w:hAnsi="Times New Roman" w:cs="Times New Roman"/>
          <w:color w:val="333333"/>
          <w:sz w:val="24"/>
          <w:szCs w:val="24"/>
          <w:shd w:val="clear" w:color="auto" w:fill="FFFFFF"/>
        </w:rPr>
        <w:t xml:space="preserve"> Reader. </w:t>
      </w:r>
      <w:r w:rsidRPr="00672B14">
        <w:rPr>
          <w:rFonts w:ascii="Times New Roman" w:hAnsi="Times New Roman" w:cs="Times New Roman"/>
          <w:color w:val="333333"/>
          <w:sz w:val="24"/>
          <w:szCs w:val="24"/>
          <w:shd w:val="clear" w:color="auto" w:fill="FFFFFF"/>
        </w:rPr>
        <w:t>McGraw-Hill Higher Education, 2013, pp. 140–142.</w:t>
      </w:r>
    </w:p>
    <w:p w14:paraId="2B08E5FC" w14:textId="77777777" w:rsidR="00FB2E42" w:rsidRDefault="00FB2E42" w:rsidP="00FB2E42">
      <w:pPr>
        <w:spacing w:line="276" w:lineRule="auto"/>
        <w:ind w:firstLine="720"/>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Lorde, Audre. “The Master’s Tools Will Never Dismantle the </w:t>
      </w:r>
      <w:proofErr w:type="gramStart"/>
      <w:r>
        <w:rPr>
          <w:rFonts w:ascii="Times New Roman" w:hAnsi="Times New Roman" w:cs="Times New Roman"/>
          <w:color w:val="333333"/>
          <w:sz w:val="24"/>
          <w:szCs w:val="24"/>
          <w:shd w:val="clear" w:color="auto" w:fill="FFFFFF"/>
        </w:rPr>
        <w:t>Master’s</w:t>
      </w:r>
      <w:proofErr w:type="gramEnd"/>
      <w:r>
        <w:rPr>
          <w:rFonts w:ascii="Times New Roman" w:hAnsi="Times New Roman" w:cs="Times New Roman"/>
          <w:color w:val="333333"/>
          <w:sz w:val="24"/>
          <w:szCs w:val="24"/>
          <w:shd w:val="clear" w:color="auto" w:fill="FFFFFF"/>
        </w:rPr>
        <w:t xml:space="preserve"> House.” </w:t>
      </w:r>
      <w:r>
        <w:rPr>
          <w:rFonts w:ascii="Times New Roman" w:hAnsi="Times New Roman" w:cs="Times New Roman"/>
          <w:i/>
          <w:iCs/>
          <w:color w:val="333333"/>
          <w:sz w:val="24"/>
          <w:szCs w:val="24"/>
          <w:shd w:val="clear" w:color="auto" w:fill="FFFFFF"/>
        </w:rPr>
        <w:t>Sister Outsider: Essays and Speeches</w:t>
      </w:r>
      <w:r>
        <w:rPr>
          <w:rFonts w:ascii="Times New Roman" w:hAnsi="Times New Roman" w:cs="Times New Roman"/>
          <w:color w:val="333333"/>
          <w:sz w:val="24"/>
          <w:szCs w:val="24"/>
          <w:shd w:val="clear" w:color="auto" w:fill="FFFFFF"/>
        </w:rPr>
        <w:t>.</w:t>
      </w:r>
      <w:r w:rsidRPr="00672B14">
        <w:rPr>
          <w:rFonts w:ascii="Times New Roman" w:hAnsi="Times New Roman" w:cs="Times New Roman"/>
          <w:color w:val="333333"/>
          <w:sz w:val="24"/>
          <w:szCs w:val="24"/>
          <w:shd w:val="clear" w:color="auto" w:fill="FFFFFF"/>
        </w:rPr>
        <w:t xml:space="preserve"> Crossing Press, 2007, pp. 110–113.</w:t>
      </w:r>
    </w:p>
    <w:p w14:paraId="479A79B0" w14:textId="77777777" w:rsidR="00A26A9D" w:rsidRDefault="00A26A9D"/>
    <w:sectPr w:rsidR="00A26A9D" w:rsidSect="00CB4D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E42"/>
    <w:rsid w:val="00A26A9D"/>
    <w:rsid w:val="00CB4DD6"/>
    <w:rsid w:val="00FB2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92790F"/>
  <w15:chartTrackingRefBased/>
  <w15:docId w15:val="{2D01E488-A342-DA42-86DA-11286C1B2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E42"/>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617</Words>
  <Characters>3517</Characters>
  <Application>Microsoft Office Word</Application>
  <DocSecurity>0</DocSecurity>
  <Lines>29</Lines>
  <Paragraphs>8</Paragraphs>
  <ScaleCrop>false</ScaleCrop>
  <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Luevanos, Daniel</dc:creator>
  <cp:keywords/>
  <dc:description/>
  <cp:lastModifiedBy>Luevanos, Daniel</cp:lastModifiedBy>
  <cp:revision>1</cp:revision>
  <dcterms:created xsi:type="dcterms:W3CDTF">2019-08-07T13:18:00Z</dcterms:created>
  <dcterms:modified xsi:type="dcterms:W3CDTF">2019-08-07T13:24:00Z</dcterms:modified>
</cp:coreProperties>
</file>