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C5565" w14:textId="77777777" w:rsidR="00D97D38" w:rsidRDefault="00D97D38"/>
    <w:p w14:paraId="13E04717" w14:textId="77777777" w:rsidR="00D97D38" w:rsidRDefault="00D97D38"/>
    <w:p w14:paraId="7AA5F433" w14:textId="039F5EFF" w:rsidR="00D97D38" w:rsidRDefault="00D97D38"/>
    <w:p w14:paraId="7D3E0AA2" w14:textId="77777777" w:rsidR="00D97D38" w:rsidRDefault="00D97D38" w:rsidP="00D97D38">
      <w:pPr>
        <w:jc w:val="center"/>
      </w:pPr>
    </w:p>
    <w:p w14:paraId="5EC1A7A5" w14:textId="5CD54828" w:rsidR="00D97D38" w:rsidRDefault="00F400CF" w:rsidP="00D97D38">
      <w:pPr>
        <w:jc w:val="center"/>
      </w:pPr>
      <w:r>
        <w:t>ZXY Expansion Evaluation</w:t>
      </w:r>
    </w:p>
    <w:p w14:paraId="7FAEE11F" w14:textId="6780367D" w:rsidR="00D97D38" w:rsidRDefault="00310737" w:rsidP="00D97D38">
      <w:pPr>
        <w:jc w:val="center"/>
      </w:pPr>
      <w:r>
        <w:t xml:space="preserve">Student’s </w:t>
      </w:r>
      <w:r w:rsidR="00F400CF">
        <w:t>Name</w:t>
      </w:r>
    </w:p>
    <w:p w14:paraId="211C7933" w14:textId="6D182953" w:rsidR="00D97D38" w:rsidRDefault="00F400CF" w:rsidP="00D97D38">
      <w:pPr>
        <w:jc w:val="center"/>
      </w:pPr>
      <w:r>
        <w:t>Institution</w:t>
      </w:r>
      <w:r w:rsidR="00310737">
        <w:t xml:space="preserve">al Affiliation </w:t>
      </w:r>
    </w:p>
    <w:p w14:paraId="3ED4411B" w14:textId="6FD280B2" w:rsidR="00D97D38" w:rsidRDefault="00D97D38" w:rsidP="00D97D38">
      <w:pPr>
        <w:jc w:val="center"/>
      </w:pPr>
    </w:p>
    <w:p w14:paraId="79A02F56" w14:textId="1144EE0E" w:rsidR="00D97D38" w:rsidRDefault="00D97D38" w:rsidP="00D97D38">
      <w:pPr>
        <w:jc w:val="center"/>
      </w:pPr>
    </w:p>
    <w:p w14:paraId="1C6D53A6" w14:textId="292EC280" w:rsidR="00D97D38" w:rsidRDefault="00D97D38" w:rsidP="00D97D38">
      <w:pPr>
        <w:jc w:val="center"/>
      </w:pPr>
    </w:p>
    <w:p w14:paraId="01E86F03" w14:textId="4CF776A5" w:rsidR="00D97D38" w:rsidRDefault="00D97D38" w:rsidP="00D97D38">
      <w:pPr>
        <w:jc w:val="center"/>
      </w:pPr>
    </w:p>
    <w:p w14:paraId="4C8F6665" w14:textId="345801FD" w:rsidR="00D97D38" w:rsidRDefault="00D97D38" w:rsidP="00D97D38">
      <w:pPr>
        <w:jc w:val="center"/>
      </w:pPr>
    </w:p>
    <w:p w14:paraId="2F5123D3" w14:textId="56D8121E" w:rsidR="00D97D38" w:rsidRDefault="00D97D38" w:rsidP="00D97D38">
      <w:pPr>
        <w:jc w:val="center"/>
      </w:pPr>
    </w:p>
    <w:p w14:paraId="3A3BF924" w14:textId="29D1B7AA" w:rsidR="00D97D38" w:rsidRDefault="00D97D38" w:rsidP="00D97D38">
      <w:pPr>
        <w:jc w:val="center"/>
      </w:pPr>
    </w:p>
    <w:p w14:paraId="6D7FC993" w14:textId="5A64FDEB" w:rsidR="00D97D38" w:rsidRDefault="00D97D38" w:rsidP="00D97D38">
      <w:pPr>
        <w:jc w:val="center"/>
      </w:pPr>
    </w:p>
    <w:p w14:paraId="6F6E0167" w14:textId="6A38AEDF" w:rsidR="00D97D38" w:rsidRDefault="00D97D38" w:rsidP="00D97D38">
      <w:pPr>
        <w:jc w:val="center"/>
      </w:pPr>
    </w:p>
    <w:p w14:paraId="2691DDE3" w14:textId="77777777" w:rsidR="00E40AD6" w:rsidRDefault="00E40AD6" w:rsidP="00D97D38">
      <w:pPr>
        <w:jc w:val="center"/>
      </w:pPr>
    </w:p>
    <w:p w14:paraId="5CA881B0" w14:textId="77777777" w:rsidR="00E40AD6" w:rsidRDefault="00E40AD6" w:rsidP="00D97D38">
      <w:pPr>
        <w:jc w:val="center"/>
      </w:pPr>
    </w:p>
    <w:p w14:paraId="61606FE5" w14:textId="576BC66F" w:rsidR="00D97D38" w:rsidRDefault="00F400CF" w:rsidP="00D97D38">
      <w:pPr>
        <w:jc w:val="center"/>
      </w:pPr>
      <w:r>
        <w:lastRenderedPageBreak/>
        <w:t>ZXY Expansion Evaluation</w:t>
      </w:r>
    </w:p>
    <w:p w14:paraId="4C064CE3" w14:textId="4B964429" w:rsidR="006E19E1" w:rsidRDefault="00F400CF" w:rsidP="00DA6219">
      <w:pPr>
        <w:ind w:firstLine="720"/>
      </w:pPr>
      <w:r>
        <w:t xml:space="preserve">ZXY Company ventures in food </w:t>
      </w:r>
      <w:r w:rsidR="00215C5F">
        <w:t xml:space="preserve">products that are staples and high market demand. </w:t>
      </w:r>
      <w:r w:rsidR="00C86DDD">
        <w:t xml:space="preserve"> The company is contemplating renting the facility and plans to </w:t>
      </w:r>
      <w:r w:rsidR="00855448">
        <w:t xml:space="preserve">expand two new </w:t>
      </w:r>
      <w:r w:rsidR="00E47DD5">
        <w:t>products, including</w:t>
      </w:r>
      <w:r w:rsidR="00855448">
        <w:t xml:space="preserve"> a second production facility. </w:t>
      </w:r>
      <w:r w:rsidR="00E47DD5">
        <w:t xml:space="preserve"> The company's expansion mission requires an </w:t>
      </w:r>
      <w:r w:rsidR="00575F78">
        <w:t>additional expense</w:t>
      </w:r>
      <w:r w:rsidR="0081404D">
        <w:t xml:space="preserve"> of $ 7 000,000 to carter for equipment presumed to </w:t>
      </w:r>
      <w:r w:rsidR="004204B2">
        <w:t>have a ten-year lifeline before being sold for approximately $ 1 000 000.</w:t>
      </w:r>
      <w:r w:rsidR="00575F78">
        <w:t xml:space="preserve"> The anticipated return on investment is 12%.  As an account manager</w:t>
      </w:r>
      <w:r w:rsidR="001A789F">
        <w:t>, I will determine the viability of the proposed expansion based on financial data analysis.</w:t>
      </w:r>
    </w:p>
    <w:p w14:paraId="18CE311B" w14:textId="747E00FD" w:rsidR="001A789F" w:rsidRDefault="00F400CF" w:rsidP="00DA6219">
      <w:pPr>
        <w:jc w:val="center"/>
        <w:rPr>
          <w:b/>
          <w:bCs/>
        </w:rPr>
      </w:pPr>
      <w:r w:rsidRPr="00504CFF">
        <w:rPr>
          <w:b/>
          <w:bCs/>
        </w:rPr>
        <w:t>Financial data analysis</w:t>
      </w:r>
    </w:p>
    <w:p w14:paraId="44F85E14" w14:textId="77777777" w:rsidR="00DA6219" w:rsidRDefault="00F400CF" w:rsidP="00DA6219">
      <w:pPr>
        <w:ind w:firstLine="720"/>
      </w:pPr>
      <w:r w:rsidRPr="00C74AF3">
        <w:t xml:space="preserve">The </w:t>
      </w:r>
      <w:r>
        <w:t xml:space="preserve">analysis would </w:t>
      </w:r>
      <w:r w:rsidR="00BC5437">
        <w:t>differentiate revenue</w:t>
      </w:r>
      <w:r>
        <w:t xml:space="preserve"> </w:t>
      </w:r>
      <w:r w:rsidR="00D41024">
        <w:t xml:space="preserve">incomes for the two intended products A and B. In a span of ten years, product A is expected to have a totality of $ 34 640 000 while B will clock </w:t>
      </w:r>
      <w:r w:rsidR="00333542">
        <w:t xml:space="preserve">$ 22 200 000. In </w:t>
      </w:r>
      <w:r w:rsidR="00955A94">
        <w:t xml:space="preserve">six years, both products A and B reveal a steady increase in revenue, with </w:t>
      </w:r>
      <w:r w:rsidR="00BC5437">
        <w:t>A maintaining at $ 3 900 000</w:t>
      </w:r>
      <w:r w:rsidR="002A2DF9">
        <w:t xml:space="preserve">. A sample segment suggests that product </w:t>
      </w:r>
      <w:r w:rsidR="00F92D7A">
        <w:t>B registered</w:t>
      </w:r>
      <w:r w:rsidR="002A2DF9">
        <w:t xml:space="preserve"> $ 900 000 in the fourth year</w:t>
      </w:r>
      <w:r w:rsidR="00163401">
        <w:t xml:space="preserve">, $ 2 5000 000 in the sixth </w:t>
      </w:r>
      <w:r w:rsidR="00F92D7A">
        <w:t>year,</w:t>
      </w:r>
      <w:r w:rsidR="00163401">
        <w:t xml:space="preserve"> $ 4 000 000 in </w:t>
      </w:r>
      <w:r w:rsidR="00F92D7A">
        <w:t>the eighth</w:t>
      </w:r>
      <w:r w:rsidR="00163401">
        <w:t xml:space="preserve"> year and </w:t>
      </w:r>
      <w:r w:rsidR="00BF4F5B">
        <w:t>$5 500 000 in the tenth year. The trend reflects a positive trajectory orientation.</w:t>
      </w:r>
      <w:r w:rsidR="00F92D7A">
        <w:t xml:space="preserve"> Scrutiny of cost of goods sold reflects that </w:t>
      </w:r>
      <w:r w:rsidR="004F61DE">
        <w:t xml:space="preserve">the company has several items </w:t>
      </w:r>
      <w:r w:rsidR="000029D7">
        <w:t>increasing or are constant over the decade. The items include plant equipment parts, plant telephone, health benefits,</w:t>
      </w:r>
      <w:r w:rsidR="00CB23E2">
        <w:t xml:space="preserve"> plant maintenance, pest control, etc. However, it can be noted that some extremities can be spotted in the financial </w:t>
      </w:r>
      <w:r w:rsidR="002331E2">
        <w:t>statement.</w:t>
      </w:r>
      <w:r w:rsidR="00CB23E2">
        <w:t xml:space="preserve"> </w:t>
      </w:r>
      <w:r w:rsidR="005F3A1E">
        <w:t xml:space="preserve"> Expenses for plant payroll skyrocketed to $ 1 00 000 in the seventh year. </w:t>
      </w:r>
    </w:p>
    <w:p w14:paraId="64152932" w14:textId="30E464B6" w:rsidR="00504CFF" w:rsidRDefault="005F3A1E" w:rsidP="00DA6219">
      <w:pPr>
        <w:ind w:firstLine="720"/>
      </w:pPr>
      <w:r>
        <w:t>Al</w:t>
      </w:r>
      <w:r w:rsidR="009E18EF">
        <w:t>s</w:t>
      </w:r>
      <w:r>
        <w:t>o, the SQF -</w:t>
      </w:r>
      <w:r w:rsidR="002331E2">
        <w:t>FDA mandates</w:t>
      </w:r>
      <w:r w:rsidR="009E18EF">
        <w:t xml:space="preserve"> expenditures that reveals as a plus due to the decrease noted from $90 000 to $30 000 covering </w:t>
      </w:r>
      <w:r w:rsidR="002331E2">
        <w:t>products and</w:t>
      </w:r>
      <w:r w:rsidR="009E18EF">
        <w:t xml:space="preserve"> B.</w:t>
      </w:r>
      <w:r w:rsidR="002331E2">
        <w:t xml:space="preserve"> Under the segment, plant supplies </w:t>
      </w:r>
      <w:r w:rsidR="006E06C9">
        <w:t xml:space="preserve">seem to alternate by escalating and also shrinking. Another notable plus is that the interest on the debt </w:t>
      </w:r>
      <w:r w:rsidR="000C37FF">
        <w:lastRenderedPageBreak/>
        <w:t>keeps reducing over the years. It shrunk from $ 90 627 at the start of the year to $111 at the tenth year.</w:t>
      </w:r>
      <w:r w:rsidR="00AC7A7C">
        <w:t xml:space="preserve"> Another parameter to consider in feasibility studies is the depreciation rate.  </w:t>
      </w:r>
      <w:r w:rsidR="003517DD">
        <w:t xml:space="preserve">Product A registered a massive accumulation in the first three years that led to losses </w:t>
      </w:r>
      <w:r w:rsidR="007354EE">
        <w:t xml:space="preserve">when product A was being produced. </w:t>
      </w:r>
      <w:r w:rsidR="0075577B">
        <w:t>However,</w:t>
      </w:r>
      <w:r w:rsidR="007354EE">
        <w:t xml:space="preserve"> the company managed to recover via the net earnings of $ 992 727 in the third </w:t>
      </w:r>
      <w:r w:rsidR="0075577B">
        <w:t>year to $ 615 998 in a year. The positive earnings continued afterwards, leading to an increase in revenue every financial year.</w:t>
      </w:r>
    </w:p>
    <w:p w14:paraId="3665ADCB" w14:textId="4ADB310D" w:rsidR="001479DD" w:rsidRDefault="00F400CF" w:rsidP="00DA6219">
      <w:pPr>
        <w:jc w:val="center"/>
        <w:rPr>
          <w:b/>
          <w:bCs/>
        </w:rPr>
      </w:pPr>
      <w:r w:rsidRPr="001479DD">
        <w:rPr>
          <w:b/>
          <w:bCs/>
        </w:rPr>
        <w:t>Depreciation</w:t>
      </w:r>
    </w:p>
    <w:p w14:paraId="6EFDB129" w14:textId="1108929E" w:rsidR="00DA6219" w:rsidRDefault="00F400CF" w:rsidP="00DA6219">
      <w:pPr>
        <w:ind w:firstLine="720"/>
      </w:pPr>
      <w:r>
        <w:t>According to</w:t>
      </w:r>
      <w:r w:rsidR="007A6E8A">
        <w:t xml:space="preserve"> Haijiyev </w:t>
      </w:r>
      <w:r w:rsidR="006F27CA">
        <w:t>(</w:t>
      </w:r>
      <w:r w:rsidR="007A6E8A">
        <w:t>2021)</w:t>
      </w:r>
      <w:r>
        <w:t xml:space="preserve">, “depreciation entails the actual value </w:t>
      </w:r>
      <w:r w:rsidR="006F27CA">
        <w:t>decrease for</w:t>
      </w:r>
      <w:r>
        <w:t xml:space="preserve"> equipment and machinery over time as usag</w:t>
      </w:r>
      <w:r w:rsidR="00E40AD6">
        <w:t>e increases” (</w:t>
      </w:r>
      <w:r w:rsidR="006F27CA">
        <w:t>p.92)</w:t>
      </w:r>
      <w:r w:rsidR="00E40AD6">
        <w:t>. The Appendix</w:t>
      </w:r>
      <w:r w:rsidR="00533A07">
        <w:t xml:space="preserve"> below indicate the nature of depreciation on assets. </w:t>
      </w:r>
      <w:r>
        <w:t xml:space="preserve">Depreciation can be </w:t>
      </w:r>
      <w:r w:rsidR="00AC239B">
        <w:t xml:space="preserve">determined using several derivatives, such as a </w:t>
      </w:r>
      <w:r w:rsidR="00CE58B2">
        <w:t xml:space="preserve">modified </w:t>
      </w:r>
      <w:r w:rsidR="00C528D4">
        <w:t>accelerated cost recovery system (MACRS) and the straight-line procedure.</w:t>
      </w:r>
      <w:r w:rsidR="00DC7D92">
        <w:t xml:space="preserve"> The depreciation is calculated using the seven-year life of MACRS</w:t>
      </w:r>
      <w:r w:rsidR="003D6223">
        <w:t xml:space="preserve"> (Stehly et al., 2020)</w:t>
      </w:r>
      <w:r w:rsidR="00DC7D92">
        <w:t xml:space="preserve">. MACRS </w:t>
      </w:r>
      <w:r w:rsidR="00FF1C5D">
        <w:t xml:space="preserve">allows the classification of assets enabling tax deductions in bits annually. MACRS is marked with a high deduction in tax </w:t>
      </w:r>
      <w:r w:rsidR="0076081E">
        <w:t xml:space="preserve">in the preliminary year equipment is acquired and fewer deductions in the final years. Despite this, MACRS cannot </w:t>
      </w:r>
      <w:r w:rsidR="00803805">
        <w:t xml:space="preserve">be utilized for book depreciation as in the case of straight-line depreciation.  </w:t>
      </w:r>
      <w:r w:rsidR="00301F9D">
        <w:t>“</w:t>
      </w:r>
      <w:r w:rsidR="00803805">
        <w:t>Straight-line depression entails the division of the depreciabl</w:t>
      </w:r>
      <w:r w:rsidR="00301F9D">
        <w:t>e</w:t>
      </w:r>
      <w:r w:rsidR="00803805">
        <w:t xml:space="preserve"> value of the asset by the number of years </w:t>
      </w:r>
      <w:r w:rsidR="00301F9D">
        <w:t>the equipment is to be used”</w:t>
      </w:r>
      <w:r w:rsidR="00D2779D">
        <w:t xml:space="preserve"> (Anisa &amp; Pebriana  2021, p. 12)</w:t>
      </w:r>
      <w:r w:rsidR="00301F9D">
        <w:t xml:space="preserve">. The method assumes uniformity and consistency </w:t>
      </w:r>
      <w:r w:rsidR="007200D1">
        <w:t>of operations during the consideration period and is more reliable when the lifeline of the equipment is predetermined</w:t>
      </w:r>
      <w:r w:rsidR="00256A0D">
        <w:t xml:space="preserve">.  </w:t>
      </w:r>
    </w:p>
    <w:p w14:paraId="55F5A746" w14:textId="073DF571" w:rsidR="001479DD" w:rsidRDefault="00256A0D" w:rsidP="00DA6219">
      <w:pPr>
        <w:ind w:firstLine="720"/>
      </w:pPr>
      <w:r>
        <w:t xml:space="preserve">MACRS categorization of efficiency and usage is responsible for </w:t>
      </w:r>
      <w:r w:rsidR="0070711C">
        <w:t>repair expenses for equipment and plant, including machinery's performance over a specific period</w:t>
      </w:r>
      <w:r w:rsidR="00F02832">
        <w:t>, instead of using a straight-line procedure that equates uniformity in general terms. Another advantage of the MARCS metho</w:t>
      </w:r>
      <w:r w:rsidR="003342E9">
        <w:t xml:space="preserve">d to ZXY company is that it offers a mechanism of checking the deduction of tax </w:t>
      </w:r>
      <w:r w:rsidR="003342E9">
        <w:lastRenderedPageBreak/>
        <w:t xml:space="preserve">in the </w:t>
      </w:r>
      <w:r w:rsidR="003D6223">
        <w:t>company over</w:t>
      </w:r>
      <w:r w:rsidR="003342E9">
        <w:t xml:space="preserve"> the years. This aspect is crucial </w:t>
      </w:r>
      <w:r w:rsidR="004674D4">
        <w:t>considering that tax deductions were responsible for an approximated $ 1 879 200 in the tenth year alone.</w:t>
      </w:r>
    </w:p>
    <w:p w14:paraId="2355E725" w14:textId="477CE4F8" w:rsidR="004674D4" w:rsidRDefault="00F400CF" w:rsidP="00DA6219">
      <w:pPr>
        <w:jc w:val="center"/>
        <w:rPr>
          <w:b/>
          <w:bCs/>
        </w:rPr>
      </w:pPr>
      <w:r w:rsidRPr="004674D4">
        <w:rPr>
          <w:b/>
          <w:bCs/>
        </w:rPr>
        <w:t>Recommendations</w:t>
      </w:r>
    </w:p>
    <w:p w14:paraId="5CEB3E12" w14:textId="77777777" w:rsidR="00DA6219" w:rsidRDefault="00F400CF" w:rsidP="00DA6219">
      <w:pPr>
        <w:ind w:firstLine="720"/>
      </w:pPr>
      <w:r w:rsidRPr="00350A0B">
        <w:t xml:space="preserve">After considering all the </w:t>
      </w:r>
      <w:r w:rsidR="00A74191" w:rsidRPr="00350A0B">
        <w:t>relevant aspects</w:t>
      </w:r>
      <w:r w:rsidRPr="00350A0B">
        <w:t>,</w:t>
      </w:r>
      <w:r>
        <w:t xml:space="preserve"> the decision about the need to accommodate the expansion of ZXY company is dictated by various factors apart from </w:t>
      </w:r>
      <w:r w:rsidR="00A74191">
        <w:t xml:space="preserve">financial analysis alone. </w:t>
      </w:r>
      <w:r w:rsidR="00D416FA">
        <w:t xml:space="preserve">Other essential factors to note include legal regulations about company expansion and the general outlook of the market. </w:t>
      </w:r>
      <w:r w:rsidR="00A74191">
        <w:t xml:space="preserve">The scrutiny of the company’s financial situation </w:t>
      </w:r>
      <w:r w:rsidR="003D6223">
        <w:t>reveals that</w:t>
      </w:r>
      <w:r w:rsidR="004B243F">
        <w:t xml:space="preserve"> the company is healthy and capable of accommodating the development of the intended two products.  The reason for such </w:t>
      </w:r>
      <w:r w:rsidR="00F37234">
        <w:t>a deduction is that AQF-FDA mandates that costs are at a low point during the business span of products A and B.</w:t>
      </w:r>
      <w:r w:rsidR="00D7126F">
        <w:t xml:space="preserve"> Such indicators are favourable for the regulatory environment for they encourage more food products via mandates </w:t>
      </w:r>
      <w:r w:rsidR="00983B07">
        <w:t xml:space="preserve">cost reduction.  When the company introduced product B, it </w:t>
      </w:r>
      <w:r w:rsidR="008525C7">
        <w:t>started realizing</w:t>
      </w:r>
      <w:r w:rsidR="00983B07">
        <w:t xml:space="preserve"> positive gains as projected by the financial data in the financial statement. ZXY company </w:t>
      </w:r>
      <w:r w:rsidR="000B50FC">
        <w:t xml:space="preserve">has stayed on a profitability trend for seven </w:t>
      </w:r>
      <w:r w:rsidR="008525C7">
        <w:t>straight years</w:t>
      </w:r>
      <w:r w:rsidR="000B50FC">
        <w:t xml:space="preserve">, as revealed by the economic data. </w:t>
      </w:r>
      <w:r w:rsidR="008525C7">
        <w:t xml:space="preserve"> </w:t>
      </w:r>
    </w:p>
    <w:p w14:paraId="3549626A" w14:textId="1D68EA25" w:rsidR="004674D4" w:rsidRDefault="008525C7" w:rsidP="00DA6219">
      <w:pPr>
        <w:ind w:firstLine="720"/>
      </w:pPr>
      <w:r>
        <w:t xml:space="preserve">The positive trend indicates that the market is positively accommodative </w:t>
      </w:r>
      <w:r w:rsidR="00F54C01">
        <w:t xml:space="preserve">to the company's new products, especially product B. The enactment of the expansion will see product B as a reliable venture that will post commendable profits and also recover the expenses incurred by the company in the </w:t>
      </w:r>
      <w:r w:rsidR="003008AF">
        <w:t>initial stages</w:t>
      </w:r>
      <w:r w:rsidR="003D6223">
        <w:t xml:space="preserve"> (Stehly et al., 2020)</w:t>
      </w:r>
      <w:r w:rsidR="003008AF">
        <w:t>.</w:t>
      </w:r>
      <w:r w:rsidR="00432B8D">
        <w:t xml:space="preserve"> Upon implementing the </w:t>
      </w:r>
      <w:r w:rsidR="00FF0AEC">
        <w:t>expansion,</w:t>
      </w:r>
      <w:r w:rsidR="00432B8D">
        <w:t xml:space="preserve"> the company needs to take </w:t>
      </w:r>
      <w:r w:rsidR="003C05FD">
        <w:t>up</w:t>
      </w:r>
      <w:r w:rsidR="00432B8D">
        <w:t xml:space="preserve"> the MACRS depreciation formula to cushion itself from the </w:t>
      </w:r>
      <w:r w:rsidR="003C05FD">
        <w:t>tax deductions extrapolated in ten years since the process's inception</w:t>
      </w:r>
      <w:r w:rsidR="00FF0AEC">
        <w:t xml:space="preserve">, just as discussed previously. To sum up, ZYX company </w:t>
      </w:r>
      <w:r w:rsidR="00FE5214">
        <w:t xml:space="preserve">is relatively not far off unfit to consider its expansion plan. The central element to consider </w:t>
      </w:r>
      <w:r w:rsidR="006D635F">
        <w:t xml:space="preserve">is closely monitoring the pinpointed items in the previous discussion </w:t>
      </w:r>
      <w:r w:rsidR="00EE656B">
        <w:t>under the financial information.</w:t>
      </w:r>
    </w:p>
    <w:p w14:paraId="77CF45F0" w14:textId="47B90DF5" w:rsidR="00EE656B" w:rsidRDefault="00F400CF" w:rsidP="00DA6219">
      <w:pPr>
        <w:jc w:val="center"/>
      </w:pPr>
      <w:r>
        <w:lastRenderedPageBreak/>
        <w:t>References</w:t>
      </w:r>
    </w:p>
    <w:p w14:paraId="6703EA3A" w14:textId="77777777" w:rsidR="00DA6219" w:rsidRPr="00DA6219" w:rsidRDefault="00DA6219" w:rsidP="00DA6219">
      <w:pPr>
        <w:ind w:left="720" w:hanging="720"/>
        <w:jc w:val="both"/>
        <w:rPr>
          <w:color w:val="222222"/>
          <w:shd w:val="clear" w:color="auto" w:fill="FFFFFF"/>
        </w:rPr>
      </w:pPr>
      <w:r w:rsidRPr="00DA6219">
        <w:rPr>
          <w:color w:val="222222"/>
          <w:shd w:val="clear" w:color="auto" w:fill="FFFFFF"/>
        </w:rPr>
        <w:t>Anisa, M., Amelia, N., &amp; Pebriana, R. (2021). Comparison of Fixed Assets Depreciation Method and Direction Influence on Company Profits in PT Akasha Wira International Tbk. </w:t>
      </w:r>
      <w:r w:rsidRPr="00DA6219">
        <w:rPr>
          <w:i/>
          <w:iCs/>
          <w:color w:val="222222"/>
          <w:shd w:val="clear" w:color="auto" w:fill="FFFFFF"/>
        </w:rPr>
        <w:t>International Journal of Research in Vocational Studies (IJRVOCAS)</w:t>
      </w:r>
      <w:r w:rsidRPr="00DA6219">
        <w:rPr>
          <w:color w:val="222222"/>
          <w:shd w:val="clear" w:color="auto" w:fill="FFFFFF"/>
        </w:rPr>
        <w:t>, </w:t>
      </w:r>
      <w:r w:rsidRPr="00DA6219">
        <w:rPr>
          <w:i/>
          <w:iCs/>
          <w:color w:val="222222"/>
          <w:shd w:val="clear" w:color="auto" w:fill="FFFFFF"/>
        </w:rPr>
        <w:t>1</w:t>
      </w:r>
      <w:r w:rsidRPr="00DA6219">
        <w:rPr>
          <w:color w:val="222222"/>
          <w:shd w:val="clear" w:color="auto" w:fill="FFFFFF"/>
        </w:rPr>
        <w:t>(1), 11-17.</w:t>
      </w:r>
    </w:p>
    <w:p w14:paraId="1C3D98D3" w14:textId="77777777" w:rsidR="00DA6219" w:rsidRPr="00DA6219" w:rsidRDefault="00DA6219" w:rsidP="00DA6219">
      <w:pPr>
        <w:ind w:left="720" w:hanging="720"/>
        <w:jc w:val="both"/>
        <w:rPr>
          <w:color w:val="222222"/>
          <w:shd w:val="clear" w:color="auto" w:fill="FFFFFF"/>
        </w:rPr>
      </w:pPr>
      <w:r w:rsidRPr="00DA6219">
        <w:rPr>
          <w:color w:val="222222"/>
          <w:shd w:val="clear" w:color="auto" w:fill="FFFFFF"/>
        </w:rPr>
        <w:t>Hajiyev, H. (2021). Accounting and tax accounting for the accrual of depreciation of fixed assets and ways of convergence. In </w:t>
      </w:r>
      <w:r w:rsidRPr="00DA6219">
        <w:rPr>
          <w:i/>
          <w:iCs/>
          <w:color w:val="222222"/>
          <w:shd w:val="clear" w:color="auto" w:fill="FFFFFF"/>
        </w:rPr>
        <w:t>SHS Web of Conferences</w:t>
      </w:r>
      <w:r w:rsidRPr="00DA6219">
        <w:rPr>
          <w:color w:val="222222"/>
          <w:shd w:val="clear" w:color="auto" w:fill="FFFFFF"/>
        </w:rPr>
        <w:t> (Vol. 92, p. 02020). EDP Sciences.</w:t>
      </w:r>
    </w:p>
    <w:p w14:paraId="021CA3C2" w14:textId="6878D352" w:rsidR="00DA6219" w:rsidRDefault="00DA6219" w:rsidP="00DA6219">
      <w:pPr>
        <w:ind w:left="720" w:hanging="720"/>
        <w:jc w:val="both"/>
      </w:pPr>
      <w:proofErr w:type="spellStart"/>
      <w:r w:rsidRPr="00DA6219">
        <w:rPr>
          <w:color w:val="222222"/>
          <w:shd w:val="clear" w:color="auto" w:fill="FFFFFF"/>
        </w:rPr>
        <w:t>Stehly</w:t>
      </w:r>
      <w:proofErr w:type="spellEnd"/>
      <w:r w:rsidRPr="00DA6219">
        <w:rPr>
          <w:color w:val="222222"/>
          <w:shd w:val="clear" w:color="auto" w:fill="FFFFFF"/>
        </w:rPr>
        <w:t>, T., Beiter, P., &amp; Duffy, P. (2020). </w:t>
      </w:r>
      <w:r w:rsidRPr="00DA6219">
        <w:rPr>
          <w:i/>
          <w:iCs/>
          <w:color w:val="222222"/>
          <w:shd w:val="clear" w:color="auto" w:fill="FFFFFF"/>
        </w:rPr>
        <w:t>2019 Cost of Wind Energy Review</w:t>
      </w:r>
      <w:r w:rsidRPr="00DA6219">
        <w:rPr>
          <w:color w:val="222222"/>
          <w:shd w:val="clear" w:color="auto" w:fill="FFFFFF"/>
        </w:rPr>
        <w:t> (No. NREL/TP-5000-78471). National Renewable Energy Lab. (NREL), Golden, CO (United States).</w:t>
      </w:r>
    </w:p>
    <w:p w14:paraId="7E4FD929" w14:textId="6E9FD184" w:rsidR="001D0CE6" w:rsidRDefault="001D0CE6" w:rsidP="00DA6219">
      <w:pPr>
        <w:ind w:left="720" w:hanging="720"/>
        <w:jc w:val="both"/>
      </w:pPr>
    </w:p>
    <w:p w14:paraId="0435AD11" w14:textId="02CEFF72" w:rsidR="001D0CE6" w:rsidRDefault="001D0CE6" w:rsidP="00DA6219">
      <w:pPr>
        <w:ind w:left="720" w:hanging="720"/>
        <w:jc w:val="both"/>
      </w:pPr>
    </w:p>
    <w:p w14:paraId="5A2A7076" w14:textId="26D90BB9" w:rsidR="001D0CE6" w:rsidRDefault="001D0CE6" w:rsidP="00DA6219">
      <w:pPr>
        <w:ind w:left="720" w:hanging="720"/>
        <w:jc w:val="both"/>
      </w:pPr>
    </w:p>
    <w:p w14:paraId="6FA36DC7" w14:textId="021A9384" w:rsidR="001D0CE6" w:rsidRDefault="001D0CE6" w:rsidP="00DA6219">
      <w:pPr>
        <w:ind w:left="720" w:hanging="720"/>
        <w:jc w:val="both"/>
      </w:pPr>
    </w:p>
    <w:p w14:paraId="5099E3A1" w14:textId="22F6134B" w:rsidR="001D0CE6" w:rsidRDefault="001D0CE6" w:rsidP="00DA6219">
      <w:pPr>
        <w:ind w:left="720" w:hanging="720"/>
        <w:jc w:val="both"/>
      </w:pPr>
    </w:p>
    <w:p w14:paraId="554EDED7" w14:textId="4C0CBD7A" w:rsidR="001D0CE6" w:rsidRDefault="001D0CE6" w:rsidP="00DA6219">
      <w:pPr>
        <w:ind w:left="720" w:hanging="720"/>
        <w:jc w:val="both"/>
      </w:pPr>
    </w:p>
    <w:p w14:paraId="1FCDC7CB" w14:textId="44BC1EB6" w:rsidR="001D0CE6" w:rsidRDefault="001D0CE6" w:rsidP="00DA6219">
      <w:pPr>
        <w:ind w:left="720" w:hanging="720"/>
        <w:jc w:val="both"/>
      </w:pPr>
    </w:p>
    <w:p w14:paraId="7FF2FCD0" w14:textId="052488A7" w:rsidR="001D0CE6" w:rsidRDefault="001D0CE6" w:rsidP="00DA6219">
      <w:pPr>
        <w:ind w:left="720" w:hanging="720"/>
        <w:jc w:val="both"/>
      </w:pPr>
    </w:p>
    <w:p w14:paraId="659B1BB3" w14:textId="49BDDCE2" w:rsidR="001D0CE6" w:rsidRDefault="001D0CE6" w:rsidP="00DA6219">
      <w:pPr>
        <w:ind w:left="720" w:hanging="720"/>
        <w:jc w:val="both"/>
      </w:pPr>
    </w:p>
    <w:p w14:paraId="13CFB82D" w14:textId="576F4E0E" w:rsidR="001D0CE6" w:rsidRDefault="001D0CE6" w:rsidP="00DA6219">
      <w:pPr>
        <w:ind w:left="720" w:hanging="720"/>
        <w:jc w:val="both"/>
      </w:pPr>
    </w:p>
    <w:p w14:paraId="64124314" w14:textId="4998606A" w:rsidR="001D0CE6" w:rsidRDefault="001D0CE6" w:rsidP="00DA6219">
      <w:pPr>
        <w:ind w:left="720" w:hanging="720"/>
        <w:jc w:val="both"/>
      </w:pPr>
    </w:p>
    <w:p w14:paraId="75B79467" w14:textId="746136CA" w:rsidR="001D0CE6" w:rsidRDefault="001D0CE6" w:rsidP="001D0CE6">
      <w:pPr>
        <w:ind w:left="720" w:hanging="720"/>
        <w:jc w:val="center"/>
      </w:pPr>
      <w:r>
        <w:lastRenderedPageBreak/>
        <w:t>Appendix</w:t>
      </w:r>
    </w:p>
    <w:p w14:paraId="507FE888" w14:textId="4CAA63B4" w:rsidR="001D0CE6" w:rsidRPr="00DA6219" w:rsidRDefault="001D0CE6" w:rsidP="001D0CE6">
      <w:pPr>
        <w:ind w:left="720" w:hanging="720"/>
      </w:pPr>
      <w:r>
        <w:rPr>
          <w:noProof/>
        </w:rPr>
        <w:drawing>
          <wp:inline distT="0" distB="0" distL="0" distR="0" wp14:anchorId="60E3D17F" wp14:editId="7EC92AAC">
            <wp:extent cx="5943600" cy="3851289"/>
            <wp:effectExtent l="0" t="0" r="0" b="0"/>
            <wp:docPr id="1" name="Picture 1" descr="Popular Depreciation Methods To Calculate Asset Value Over The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ular Depreciation Methods To Calculate Asset Value Over The Yea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1D0CE6" w:rsidRPr="00DA6219" w:rsidSect="0031073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2CCE" w14:textId="77777777" w:rsidR="006B0521" w:rsidRDefault="006B0521">
      <w:pPr>
        <w:spacing w:after="0" w:line="240" w:lineRule="auto"/>
      </w:pPr>
      <w:r>
        <w:separator/>
      </w:r>
    </w:p>
  </w:endnote>
  <w:endnote w:type="continuationSeparator" w:id="0">
    <w:p w14:paraId="68885D7D" w14:textId="77777777" w:rsidR="006B0521" w:rsidRDefault="006B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95A19" w14:textId="77777777" w:rsidR="006B0521" w:rsidRDefault="006B0521">
      <w:pPr>
        <w:spacing w:after="0" w:line="240" w:lineRule="auto"/>
      </w:pPr>
      <w:r>
        <w:separator/>
      </w:r>
    </w:p>
  </w:footnote>
  <w:footnote w:type="continuationSeparator" w:id="0">
    <w:p w14:paraId="23791E03" w14:textId="77777777" w:rsidR="006B0521" w:rsidRDefault="006B0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9744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A88BF7" w14:textId="28A3ACFB" w:rsidR="00310737" w:rsidRDefault="00E40AD6">
        <w:pPr>
          <w:pStyle w:val="Header"/>
          <w:jc w:val="right"/>
        </w:pPr>
        <w:r>
          <w:t>ZXY EXPANSION EVALUATION</w:t>
        </w:r>
        <w:r>
          <w:t xml:space="preserve">                                                                                               </w:t>
        </w:r>
        <w:r w:rsidR="00310737">
          <w:fldChar w:fldCharType="begin"/>
        </w:r>
        <w:r w:rsidR="00310737">
          <w:instrText xml:space="preserve"> PAGE   \* MERGEFORMAT </w:instrText>
        </w:r>
        <w:r w:rsidR="00310737">
          <w:fldChar w:fldCharType="separate"/>
        </w:r>
        <w:r w:rsidR="00800484">
          <w:rPr>
            <w:noProof/>
          </w:rPr>
          <w:t>6</w:t>
        </w:r>
        <w:r w:rsidR="00310737">
          <w:rPr>
            <w:noProof/>
          </w:rPr>
          <w:fldChar w:fldCharType="end"/>
        </w:r>
      </w:p>
    </w:sdtContent>
  </w:sdt>
  <w:p w14:paraId="3B745B09" w14:textId="77777777" w:rsidR="00310737" w:rsidRDefault="003107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997F5" w14:textId="209FCE45" w:rsidR="00310737" w:rsidRDefault="00310737">
    <w:pPr>
      <w:pStyle w:val="Header"/>
    </w:pPr>
    <w:r>
      <w:t>Running head:</w:t>
    </w:r>
    <w:r w:rsidRPr="00310737">
      <w:t xml:space="preserve"> </w:t>
    </w:r>
    <w:r>
      <w:t>ZXY EXPANSION EVALUATION</w:t>
    </w:r>
    <w:r>
      <w:t xml:space="preserve"> </w:t>
    </w:r>
    <w: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4C"/>
    <w:rsid w:val="000029D7"/>
    <w:rsid w:val="000B50FC"/>
    <w:rsid w:val="000C37FF"/>
    <w:rsid w:val="000C7D3E"/>
    <w:rsid w:val="001479DD"/>
    <w:rsid w:val="00163401"/>
    <w:rsid w:val="001A789F"/>
    <w:rsid w:val="001D0CE6"/>
    <w:rsid w:val="00215C5F"/>
    <w:rsid w:val="002331E2"/>
    <w:rsid w:val="00256A0D"/>
    <w:rsid w:val="002A2DF9"/>
    <w:rsid w:val="003008AF"/>
    <w:rsid w:val="00301F9D"/>
    <w:rsid w:val="00310737"/>
    <w:rsid w:val="00333542"/>
    <w:rsid w:val="003342E9"/>
    <w:rsid w:val="00350A0B"/>
    <w:rsid w:val="003517DD"/>
    <w:rsid w:val="003C05FD"/>
    <w:rsid w:val="003D6223"/>
    <w:rsid w:val="004204B2"/>
    <w:rsid w:val="00432B8D"/>
    <w:rsid w:val="004674D4"/>
    <w:rsid w:val="004B243F"/>
    <w:rsid w:val="004F61DE"/>
    <w:rsid w:val="00504CFF"/>
    <w:rsid w:val="00533A07"/>
    <w:rsid w:val="00575F78"/>
    <w:rsid w:val="005F3A1E"/>
    <w:rsid w:val="006411BE"/>
    <w:rsid w:val="006B0521"/>
    <w:rsid w:val="006D635F"/>
    <w:rsid w:val="006E06C9"/>
    <w:rsid w:val="006E19E1"/>
    <w:rsid w:val="006F27CA"/>
    <w:rsid w:val="0070711C"/>
    <w:rsid w:val="007200D1"/>
    <w:rsid w:val="007354EE"/>
    <w:rsid w:val="007379A7"/>
    <w:rsid w:val="0075577B"/>
    <w:rsid w:val="0076081E"/>
    <w:rsid w:val="007A6E8A"/>
    <w:rsid w:val="00800484"/>
    <w:rsid w:val="00803805"/>
    <w:rsid w:val="0081404D"/>
    <w:rsid w:val="008525C7"/>
    <w:rsid w:val="00855448"/>
    <w:rsid w:val="00955A94"/>
    <w:rsid w:val="00983B07"/>
    <w:rsid w:val="009E18EF"/>
    <w:rsid w:val="00A66F28"/>
    <w:rsid w:val="00A74191"/>
    <w:rsid w:val="00AC239B"/>
    <w:rsid w:val="00AC7A7C"/>
    <w:rsid w:val="00BA2289"/>
    <w:rsid w:val="00BB7EC5"/>
    <w:rsid w:val="00BC5437"/>
    <w:rsid w:val="00BF4F5B"/>
    <w:rsid w:val="00C528D4"/>
    <w:rsid w:val="00C71DFC"/>
    <w:rsid w:val="00C74AF3"/>
    <w:rsid w:val="00C86DDD"/>
    <w:rsid w:val="00CB23E2"/>
    <w:rsid w:val="00CD224C"/>
    <w:rsid w:val="00CE58B2"/>
    <w:rsid w:val="00D2779D"/>
    <w:rsid w:val="00D41024"/>
    <w:rsid w:val="00D416FA"/>
    <w:rsid w:val="00D7126F"/>
    <w:rsid w:val="00D97D38"/>
    <w:rsid w:val="00DA6219"/>
    <w:rsid w:val="00DC7D92"/>
    <w:rsid w:val="00E05580"/>
    <w:rsid w:val="00E40AD6"/>
    <w:rsid w:val="00E47DD5"/>
    <w:rsid w:val="00E82539"/>
    <w:rsid w:val="00EE656B"/>
    <w:rsid w:val="00F02832"/>
    <w:rsid w:val="00F37234"/>
    <w:rsid w:val="00F400CF"/>
    <w:rsid w:val="00F54C01"/>
    <w:rsid w:val="00F92D7A"/>
    <w:rsid w:val="00FE5214"/>
    <w:rsid w:val="00FF0AEC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9D0F"/>
  <w15:chartTrackingRefBased/>
  <w15:docId w15:val="{60EC0A2B-8E15-419E-9C20-6E7BD2D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D38"/>
  </w:style>
  <w:style w:type="paragraph" w:styleId="Footer">
    <w:name w:val="footer"/>
    <w:basedOn w:val="Normal"/>
    <w:link w:val="FooterChar"/>
    <w:uiPriority w:val="99"/>
    <w:unhideWhenUsed/>
    <w:rsid w:val="00D97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aggrey siangu</dc:creator>
  <cp:lastModifiedBy>user</cp:lastModifiedBy>
  <cp:revision>2</cp:revision>
  <dcterms:created xsi:type="dcterms:W3CDTF">2021-08-29T20:23:00Z</dcterms:created>
  <dcterms:modified xsi:type="dcterms:W3CDTF">2021-08-29T20:23:00Z</dcterms:modified>
</cp:coreProperties>
</file>