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DE0" w:rsidRPr="00AE3DE0" w:rsidRDefault="00AE3DE0" w:rsidP="00AE3DE0">
      <w:pPr>
        <w:spacing w:after="0" w:line="480" w:lineRule="auto"/>
        <w:contextualSpacing/>
        <w:jc w:val="center"/>
        <w:rPr>
          <w:rFonts w:ascii="Times New Roman" w:eastAsia="Times New Roman" w:hAnsi="Times New Roman" w:cs="Times New Roman"/>
          <w:b/>
          <w:bCs/>
          <w:color w:val="111111"/>
          <w:sz w:val="24"/>
          <w:szCs w:val="24"/>
          <w:bdr w:val="none" w:sz="0" w:space="0" w:color="auto" w:frame="1"/>
        </w:rPr>
      </w:pPr>
      <w:r>
        <w:rPr>
          <w:rFonts w:ascii="Times New Roman" w:eastAsia="Times New Roman" w:hAnsi="Times New Roman" w:cs="Times New Roman"/>
          <w:b/>
          <w:bCs/>
          <w:color w:val="111111"/>
          <w:sz w:val="24"/>
          <w:szCs w:val="24"/>
          <w:bdr w:val="none" w:sz="0" w:space="0" w:color="auto" w:frame="1"/>
        </w:rPr>
        <w:t>Zeno</w:t>
      </w:r>
    </w:p>
    <w:p w:rsidR="009D4E2A" w:rsidRDefault="00252C14" w:rsidP="009D4E2A">
      <w:pPr>
        <w:spacing w:after="0" w:line="480" w:lineRule="auto"/>
        <w:ind w:firstLine="720"/>
        <w:contextualSpacing/>
        <w:rPr>
          <w:rFonts w:ascii="Times New Roman" w:eastAsia="Times New Roman" w:hAnsi="Times New Roman" w:cs="Times New Roman"/>
          <w:bCs/>
          <w:color w:val="111111"/>
          <w:sz w:val="24"/>
          <w:szCs w:val="24"/>
          <w:bdr w:val="none" w:sz="0" w:space="0" w:color="auto" w:frame="1"/>
        </w:rPr>
      </w:pPr>
      <w:r w:rsidRPr="00930485">
        <w:rPr>
          <w:rFonts w:ascii="Times New Roman" w:eastAsia="Times New Roman" w:hAnsi="Times New Roman" w:cs="Times New Roman"/>
          <w:bCs/>
          <w:color w:val="111111"/>
          <w:sz w:val="24"/>
          <w:szCs w:val="24"/>
          <w:bdr w:val="none" w:sz="0" w:space="0" w:color="auto" w:frame="1"/>
        </w:rPr>
        <w:t xml:space="preserve">I agree that anemia </w:t>
      </w:r>
      <w:r>
        <w:rPr>
          <w:rFonts w:ascii="Times New Roman" w:eastAsia="Times New Roman" w:hAnsi="Times New Roman" w:cs="Times New Roman"/>
          <w:bCs/>
          <w:color w:val="111111"/>
          <w:sz w:val="24"/>
          <w:szCs w:val="24"/>
          <w:bdr w:val="none" w:sz="0" w:space="0" w:color="auto" w:frame="1"/>
        </w:rPr>
        <w:t xml:space="preserve">is a disease caused by a lack of </w:t>
      </w:r>
      <w:r w:rsidR="00D52075">
        <w:rPr>
          <w:rFonts w:ascii="Times New Roman" w:eastAsia="Times New Roman" w:hAnsi="Times New Roman" w:cs="Times New Roman"/>
          <w:bCs/>
          <w:color w:val="111111"/>
          <w:sz w:val="24"/>
          <w:szCs w:val="24"/>
          <w:bdr w:val="none" w:sz="0" w:space="0" w:color="auto" w:frame="1"/>
        </w:rPr>
        <w:t>adequate</w:t>
      </w:r>
      <w:r>
        <w:rPr>
          <w:rFonts w:ascii="Times New Roman" w:eastAsia="Times New Roman" w:hAnsi="Times New Roman" w:cs="Times New Roman"/>
          <w:bCs/>
          <w:color w:val="111111"/>
          <w:sz w:val="24"/>
          <w:szCs w:val="24"/>
          <w:bdr w:val="none" w:sz="0" w:space="0" w:color="auto" w:frame="1"/>
        </w:rPr>
        <w:t xml:space="preserve"> healthy red blood cells that supplies oxygen in the tissues. In women and adolescent girls, the disease affects them more compared to men due to their biological differences. Iron deficiency anemia occurs in women due to menstruation caused by insufficient iron that helps hemoglobin production</w:t>
      </w:r>
      <w:r w:rsidR="00C63B66">
        <w:rPr>
          <w:rFonts w:ascii="Times New Roman" w:eastAsia="Times New Roman" w:hAnsi="Times New Roman" w:cs="Times New Roman"/>
          <w:bCs/>
          <w:color w:val="111111"/>
          <w:sz w:val="24"/>
          <w:szCs w:val="24"/>
          <w:bdr w:val="none" w:sz="0" w:space="0" w:color="auto" w:frame="1"/>
        </w:rPr>
        <w:t xml:space="preserve"> (</w:t>
      </w:r>
      <w:r w:rsidR="00C63B66" w:rsidRPr="00A64C95">
        <w:rPr>
          <w:rFonts w:ascii="Times New Roman" w:hAnsi="Times New Roman" w:cs="Times New Roman"/>
          <w:sz w:val="24"/>
          <w:szCs w:val="24"/>
        </w:rPr>
        <w:t>L</w:t>
      </w:r>
      <w:r w:rsidR="00C63B66">
        <w:rPr>
          <w:rFonts w:ascii="Times New Roman" w:hAnsi="Times New Roman" w:cs="Times New Roman"/>
          <w:sz w:val="24"/>
          <w:szCs w:val="24"/>
        </w:rPr>
        <w:t xml:space="preserve">opez et al., </w:t>
      </w:r>
      <w:r w:rsidR="00C63B66" w:rsidRPr="00A64C95">
        <w:rPr>
          <w:rFonts w:ascii="Times New Roman" w:hAnsi="Times New Roman" w:cs="Times New Roman"/>
          <w:sz w:val="24"/>
          <w:szCs w:val="24"/>
        </w:rPr>
        <w:t>2016</w:t>
      </w:r>
      <w:r w:rsidR="00447844">
        <w:rPr>
          <w:rFonts w:ascii="Times New Roman" w:hAnsi="Times New Roman" w:cs="Times New Roman"/>
          <w:sz w:val="24"/>
          <w:szCs w:val="24"/>
        </w:rPr>
        <w:t>, p. 910</w:t>
      </w:r>
      <w:r w:rsidR="00C63B66">
        <w:rPr>
          <w:rFonts w:ascii="Times New Roman" w:hAnsi="Times New Roman" w:cs="Times New Roman"/>
          <w:sz w:val="24"/>
          <w:szCs w:val="24"/>
        </w:rPr>
        <w:t>)</w:t>
      </w:r>
      <w:r>
        <w:rPr>
          <w:rFonts w:ascii="Times New Roman" w:eastAsia="Times New Roman" w:hAnsi="Times New Roman" w:cs="Times New Roman"/>
          <w:bCs/>
          <w:color w:val="111111"/>
          <w:sz w:val="24"/>
          <w:szCs w:val="24"/>
          <w:bdr w:val="none" w:sz="0" w:space="0" w:color="auto" w:frame="1"/>
        </w:rPr>
        <w:t>. Also, the lack of an iron diet leads to iron deficiency anemia in women and young girls; therefore, they need to consume iron-rich foods such as leafy green vegetables, eggs, and meat. In addition, pregnant women suffer from iron deficiency anemia because the growing fetus consumes their iron levels. They require enough supply of iron in their blood to support them and the growing fetus so that they are both strong and healthy during delivery. However, this can be managed if pregnant women take iron supplements on top of a healthy iron diet to prevent maternal mortality and premature births.</w:t>
      </w:r>
    </w:p>
    <w:p w:rsidR="009D4E2A" w:rsidRDefault="00252C14" w:rsidP="009D4E2A">
      <w:pPr>
        <w:spacing w:after="0" w:line="480" w:lineRule="auto"/>
        <w:ind w:firstLine="720"/>
        <w:contextualSpacing/>
        <w:rPr>
          <w:rFonts w:ascii="Times New Roman" w:eastAsia="Times New Roman" w:hAnsi="Times New Roman" w:cs="Times New Roman"/>
          <w:bCs/>
          <w:color w:val="111111"/>
          <w:sz w:val="24"/>
          <w:szCs w:val="24"/>
          <w:bdr w:val="none" w:sz="0" w:space="0" w:color="auto" w:frame="1"/>
        </w:rPr>
      </w:pPr>
      <w:r>
        <w:rPr>
          <w:rFonts w:ascii="Times New Roman" w:eastAsia="Times New Roman" w:hAnsi="Times New Roman" w:cs="Times New Roman"/>
          <w:bCs/>
          <w:color w:val="111111"/>
          <w:sz w:val="24"/>
          <w:szCs w:val="24"/>
          <w:bdr w:val="none" w:sz="0" w:space="0" w:color="auto" w:frame="1"/>
        </w:rPr>
        <w:t xml:space="preserve"> Additionally, some individuals may be at a higher risk of iron deficiency anemia than others. For instance, people who consume poor diets, vegetarians who do not replace meat with other rich foods filled with iron. </w:t>
      </w:r>
      <w:r w:rsidR="00930C23">
        <w:rPr>
          <w:rFonts w:ascii="Times New Roman" w:eastAsia="Times New Roman" w:hAnsi="Times New Roman" w:cs="Times New Roman"/>
          <w:bCs/>
          <w:color w:val="111111"/>
          <w:sz w:val="24"/>
          <w:szCs w:val="24"/>
          <w:bdr w:val="none" w:sz="0" w:space="0" w:color="auto" w:frame="1"/>
        </w:rPr>
        <w:t>I assent that p</w:t>
      </w:r>
      <w:r>
        <w:rPr>
          <w:rFonts w:ascii="Times New Roman" w:eastAsia="Times New Roman" w:hAnsi="Times New Roman" w:cs="Times New Roman"/>
          <w:bCs/>
          <w:color w:val="111111"/>
          <w:sz w:val="24"/>
          <w:szCs w:val="24"/>
          <w:bdr w:val="none" w:sz="0" w:space="0" w:color="auto" w:frame="1"/>
        </w:rPr>
        <w:t xml:space="preserve">eople who donate blood frequently are at risk if their red blood cells do not regenerate regularly and do not consume a rich iron diet to supplement their iron intake. The inability to absorb iron in the body results in anemia as well, even though one gets enough iron. It is an illness caused by celiac disease, limiting the amount of iron an individual's body can absorb. </w:t>
      </w:r>
    </w:p>
    <w:p w:rsidR="009D4E2A" w:rsidRDefault="00252C14" w:rsidP="009D4E2A">
      <w:pPr>
        <w:spacing w:after="0" w:line="480" w:lineRule="auto"/>
        <w:ind w:firstLine="720"/>
        <w:rPr>
          <w:rFonts w:ascii="Times New Roman" w:eastAsia="Times New Roman" w:hAnsi="Times New Roman" w:cs="Times New Roman"/>
          <w:bCs/>
          <w:color w:val="111111"/>
          <w:sz w:val="24"/>
          <w:szCs w:val="24"/>
          <w:bdr w:val="none" w:sz="0" w:space="0" w:color="auto" w:frame="1"/>
        </w:rPr>
      </w:pPr>
      <w:r w:rsidRPr="009D4E2A">
        <w:rPr>
          <w:rFonts w:ascii="Times New Roman" w:eastAsia="Times New Roman" w:hAnsi="Times New Roman" w:cs="Times New Roman"/>
          <w:bCs/>
          <w:color w:val="111111"/>
          <w:sz w:val="24"/>
          <w:szCs w:val="24"/>
          <w:bdr w:val="none" w:sz="0" w:space="0" w:color="auto" w:frame="1"/>
        </w:rPr>
        <w:t xml:space="preserve">In older adults, anemia takes place because of iron deficiency and chronic illnesses such as cardiovascular diseases. The chronic diseases they suffer from interfere with the production of red blood cells resulting in anemia of chronic disease. The symptoms of anemia of chronic disease or anemia of inflammation in the elderly differ from person to person, depending on the </w:t>
      </w:r>
      <w:r w:rsidRPr="009D4E2A">
        <w:rPr>
          <w:rFonts w:ascii="Times New Roman" w:eastAsia="Times New Roman" w:hAnsi="Times New Roman" w:cs="Times New Roman"/>
          <w:bCs/>
          <w:color w:val="111111"/>
          <w:sz w:val="24"/>
          <w:szCs w:val="24"/>
          <w:bdr w:val="none" w:sz="0" w:space="0" w:color="auto" w:frame="1"/>
        </w:rPr>
        <w:lastRenderedPageBreak/>
        <w:t>disease they are suffering from. But the most common symptoms are similar to those of adults such as shortness of breath, dizziness, paleness, and weakness. In occasional cases, anemia of chronic disease can be fatal to the elderly and cause serious complications leading to death</w:t>
      </w:r>
      <w:r w:rsidR="001C65EA">
        <w:rPr>
          <w:rFonts w:ascii="Times New Roman" w:eastAsia="Times New Roman" w:hAnsi="Times New Roman" w:cs="Times New Roman"/>
          <w:bCs/>
          <w:color w:val="111111"/>
          <w:sz w:val="24"/>
          <w:szCs w:val="24"/>
          <w:bdr w:val="none" w:sz="0" w:space="0" w:color="auto" w:frame="1"/>
        </w:rPr>
        <w:t xml:space="preserve"> (</w:t>
      </w:r>
      <w:r w:rsidR="001C65EA" w:rsidRPr="00A64C95">
        <w:rPr>
          <w:rFonts w:ascii="Times New Roman" w:hAnsi="Times New Roman" w:cs="Times New Roman"/>
          <w:sz w:val="24"/>
          <w:szCs w:val="24"/>
        </w:rPr>
        <w:t>Gan</w:t>
      </w:r>
      <w:r w:rsidR="001C65EA">
        <w:rPr>
          <w:rFonts w:ascii="Times New Roman" w:hAnsi="Times New Roman" w:cs="Times New Roman"/>
          <w:sz w:val="24"/>
          <w:szCs w:val="24"/>
        </w:rPr>
        <w:t xml:space="preserve">z, </w:t>
      </w:r>
      <w:r w:rsidR="001C65EA" w:rsidRPr="00A64C95">
        <w:rPr>
          <w:rFonts w:ascii="Times New Roman" w:hAnsi="Times New Roman" w:cs="Times New Roman"/>
          <w:sz w:val="24"/>
          <w:szCs w:val="24"/>
        </w:rPr>
        <w:t>2019</w:t>
      </w:r>
      <w:r w:rsidR="00447844">
        <w:rPr>
          <w:rFonts w:ascii="Times New Roman" w:hAnsi="Times New Roman" w:cs="Times New Roman"/>
          <w:sz w:val="24"/>
          <w:szCs w:val="24"/>
        </w:rPr>
        <w:t>, p. 158</w:t>
      </w:r>
      <w:r w:rsidR="001C65EA">
        <w:rPr>
          <w:rFonts w:ascii="Times New Roman" w:hAnsi="Times New Roman" w:cs="Times New Roman"/>
          <w:sz w:val="24"/>
          <w:szCs w:val="24"/>
        </w:rPr>
        <w:t>)</w:t>
      </w:r>
      <w:r w:rsidRPr="009D4E2A">
        <w:rPr>
          <w:rFonts w:ascii="Times New Roman" w:eastAsia="Times New Roman" w:hAnsi="Times New Roman" w:cs="Times New Roman"/>
          <w:bCs/>
          <w:color w:val="111111"/>
          <w:sz w:val="24"/>
          <w:szCs w:val="24"/>
          <w:bdr w:val="none" w:sz="0" w:space="0" w:color="auto" w:frame="1"/>
        </w:rPr>
        <w:t>.</w:t>
      </w:r>
    </w:p>
    <w:p w:rsidR="00134D80" w:rsidRPr="00AE3DE0" w:rsidRDefault="00252C14" w:rsidP="00AE3DE0">
      <w:pPr>
        <w:spacing w:after="0" w:line="480" w:lineRule="auto"/>
        <w:ind w:firstLine="720"/>
        <w:rPr>
          <w:rFonts w:ascii="Times New Roman" w:eastAsia="Times New Roman" w:hAnsi="Times New Roman" w:cs="Times New Roman"/>
          <w:bCs/>
          <w:color w:val="111111"/>
          <w:sz w:val="24"/>
          <w:szCs w:val="24"/>
          <w:bdr w:val="none" w:sz="0" w:space="0" w:color="auto" w:frame="1"/>
        </w:rPr>
      </w:pPr>
      <w:r w:rsidRPr="009D4E2A">
        <w:rPr>
          <w:rFonts w:ascii="Times New Roman" w:eastAsia="Times New Roman" w:hAnsi="Times New Roman" w:cs="Times New Roman"/>
          <w:bCs/>
          <w:color w:val="111111"/>
          <w:sz w:val="24"/>
          <w:szCs w:val="24"/>
          <w:bdr w:val="none" w:sz="0" w:space="0" w:color="auto" w:frame="1"/>
        </w:rPr>
        <w:t xml:space="preserve">The elderly with anemia of chronic disease cannot use the iron to generate new red blood cells because of having an imbalance of iron distribution in the body. In general, the diagnosis process in the elderly, children, and adults is similar because a sample of their blood is tested for any signs of anemia if they experience some of the mentioned symptoms. </w:t>
      </w:r>
      <w:r w:rsidR="00930C23">
        <w:rPr>
          <w:rFonts w:ascii="Times New Roman" w:eastAsia="Times New Roman" w:hAnsi="Times New Roman" w:cs="Times New Roman"/>
          <w:bCs/>
          <w:color w:val="111111"/>
          <w:sz w:val="24"/>
          <w:szCs w:val="24"/>
          <w:bdr w:val="none" w:sz="0" w:space="0" w:color="auto" w:frame="1"/>
        </w:rPr>
        <w:t>I concur that f</w:t>
      </w:r>
      <w:r w:rsidRPr="009D4E2A">
        <w:rPr>
          <w:rFonts w:ascii="Times New Roman" w:eastAsia="Times New Roman" w:hAnsi="Times New Roman" w:cs="Times New Roman"/>
          <w:bCs/>
          <w:color w:val="111111"/>
          <w:sz w:val="24"/>
          <w:szCs w:val="24"/>
          <w:bdr w:val="none" w:sz="0" w:space="0" w:color="auto" w:frame="1"/>
        </w:rPr>
        <w:t xml:space="preserve">or treatment processes, in children, it will depend on the age of the child, causes, and symptoms they are experiencing. Some children may require to </w:t>
      </w:r>
      <w:r w:rsidR="00D52075">
        <w:rPr>
          <w:rFonts w:ascii="Times New Roman" w:eastAsia="Times New Roman" w:hAnsi="Times New Roman" w:cs="Times New Roman"/>
          <w:bCs/>
          <w:color w:val="111111"/>
          <w:sz w:val="24"/>
          <w:szCs w:val="24"/>
          <w:bdr w:val="none" w:sz="0" w:space="0" w:color="auto" w:frame="1"/>
        </w:rPr>
        <w:t xml:space="preserve">undergo bone marrow transplant, </w:t>
      </w:r>
      <w:r w:rsidRPr="009D4E2A">
        <w:rPr>
          <w:rFonts w:ascii="Times New Roman" w:eastAsia="Times New Roman" w:hAnsi="Times New Roman" w:cs="Times New Roman"/>
          <w:bCs/>
          <w:color w:val="111111"/>
          <w:sz w:val="24"/>
          <w:szCs w:val="24"/>
          <w:bdr w:val="none" w:sz="0" w:space="0" w:color="auto" w:frame="1"/>
        </w:rPr>
        <w:t>blood transfusion</w:t>
      </w:r>
      <w:r w:rsidR="00D52075">
        <w:rPr>
          <w:rFonts w:ascii="Times New Roman" w:eastAsia="Times New Roman" w:hAnsi="Times New Roman" w:cs="Times New Roman"/>
          <w:bCs/>
          <w:color w:val="111111"/>
          <w:sz w:val="24"/>
          <w:szCs w:val="24"/>
          <w:bdr w:val="none" w:sz="0" w:space="0" w:color="auto" w:frame="1"/>
        </w:rPr>
        <w:t xml:space="preserve"> and stem cell transplant</w:t>
      </w:r>
      <w:r w:rsidRPr="009D4E2A">
        <w:rPr>
          <w:rFonts w:ascii="Times New Roman" w:eastAsia="Times New Roman" w:hAnsi="Times New Roman" w:cs="Times New Roman"/>
          <w:bCs/>
          <w:color w:val="111111"/>
          <w:sz w:val="24"/>
          <w:szCs w:val="24"/>
          <w:bdr w:val="none" w:sz="0" w:space="0" w:color="auto" w:frame="1"/>
        </w:rPr>
        <w:t>. In the elderly, the treatment also differs depending on the underlying chronic disease they are suffering from. Therefore, medical practitioners will treat the underlying illness first and then manage the anemia with blood transfusion or erythropoietin, which stimulates the reproduction of red blood cells</w:t>
      </w:r>
      <w:r w:rsidR="00D51696">
        <w:rPr>
          <w:rFonts w:ascii="Times New Roman" w:eastAsia="Times New Roman" w:hAnsi="Times New Roman" w:cs="Times New Roman"/>
          <w:bCs/>
          <w:color w:val="111111"/>
          <w:sz w:val="24"/>
          <w:szCs w:val="24"/>
          <w:bdr w:val="none" w:sz="0" w:space="0" w:color="auto" w:frame="1"/>
        </w:rPr>
        <w:t xml:space="preserve"> (</w:t>
      </w:r>
      <w:r w:rsidR="00D51696">
        <w:rPr>
          <w:rFonts w:ascii="Times New Roman" w:hAnsi="Times New Roman" w:cs="Times New Roman"/>
          <w:sz w:val="24"/>
          <w:szCs w:val="24"/>
        </w:rPr>
        <w:t>Fischer,</w:t>
      </w:r>
      <w:r w:rsidR="00D51696" w:rsidRPr="00D51696">
        <w:rPr>
          <w:rFonts w:ascii="Times New Roman" w:hAnsi="Times New Roman" w:cs="Times New Roman"/>
          <w:sz w:val="24"/>
          <w:szCs w:val="24"/>
        </w:rPr>
        <w:t xml:space="preserve"> 2020</w:t>
      </w:r>
      <w:r w:rsidR="00D51696">
        <w:rPr>
          <w:rFonts w:ascii="Times New Roman" w:hAnsi="Times New Roman" w:cs="Times New Roman"/>
          <w:sz w:val="24"/>
          <w:szCs w:val="24"/>
        </w:rPr>
        <w:t>, p.5)</w:t>
      </w:r>
      <w:r w:rsidRPr="009D4E2A">
        <w:rPr>
          <w:rFonts w:ascii="Times New Roman" w:eastAsia="Times New Roman" w:hAnsi="Times New Roman" w:cs="Times New Roman"/>
          <w:bCs/>
          <w:color w:val="111111"/>
          <w:sz w:val="24"/>
          <w:szCs w:val="24"/>
          <w:bdr w:val="none" w:sz="0" w:space="0" w:color="auto" w:frame="1"/>
        </w:rPr>
        <w:t>. Iron deficiency anemia in women and men includes iron supplements, dietary changes, and surgery if the illness is critical</w:t>
      </w:r>
      <w:r w:rsidR="002A63B7" w:rsidRPr="002A63B7">
        <w:rPr>
          <w:rFonts w:ascii="Times New Roman" w:eastAsia="Times New Roman" w:hAnsi="Times New Roman" w:cs="Times New Roman"/>
          <w:bCs/>
          <w:color w:val="111111"/>
          <w:sz w:val="24"/>
          <w:szCs w:val="24"/>
          <w:bdr w:val="none" w:sz="0" w:space="0" w:color="auto" w:frame="1"/>
        </w:rPr>
        <w:t>.</w:t>
      </w:r>
    </w:p>
    <w:p w:rsidR="00A64C95" w:rsidRPr="00BE11A4" w:rsidRDefault="00A64C95" w:rsidP="00A64C95">
      <w:pPr>
        <w:spacing w:line="480" w:lineRule="auto"/>
        <w:jc w:val="center"/>
        <w:rPr>
          <w:rFonts w:ascii="Times New Roman" w:hAnsi="Times New Roman" w:cs="Times New Roman"/>
          <w:b/>
          <w:sz w:val="24"/>
          <w:szCs w:val="24"/>
        </w:rPr>
      </w:pPr>
      <w:r w:rsidRPr="00BE11A4">
        <w:rPr>
          <w:rFonts w:ascii="Times New Roman" w:hAnsi="Times New Roman" w:cs="Times New Roman"/>
          <w:b/>
          <w:sz w:val="24"/>
          <w:szCs w:val="24"/>
        </w:rPr>
        <w:t>References</w:t>
      </w:r>
    </w:p>
    <w:p w:rsidR="00D51696" w:rsidRDefault="009E3839" w:rsidP="00B9089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Fischer, S. (</w:t>
      </w:r>
      <w:r w:rsidR="00D51696" w:rsidRPr="00D51696">
        <w:rPr>
          <w:rFonts w:ascii="Times New Roman" w:hAnsi="Times New Roman" w:cs="Times New Roman"/>
          <w:sz w:val="24"/>
          <w:szCs w:val="24"/>
        </w:rPr>
        <w:t>2020</w:t>
      </w:r>
      <w:r>
        <w:rPr>
          <w:rFonts w:ascii="Times New Roman" w:hAnsi="Times New Roman" w:cs="Times New Roman"/>
          <w:sz w:val="24"/>
          <w:szCs w:val="24"/>
        </w:rPr>
        <w:t>)</w:t>
      </w:r>
      <w:bookmarkStart w:id="0" w:name="_GoBack"/>
      <w:bookmarkEnd w:id="0"/>
      <w:r w:rsidR="00D51696" w:rsidRPr="00D51696">
        <w:rPr>
          <w:rFonts w:ascii="Times New Roman" w:hAnsi="Times New Roman" w:cs="Times New Roman"/>
          <w:sz w:val="24"/>
          <w:szCs w:val="24"/>
        </w:rPr>
        <w:t>. Treating Anemia of Chronic Disease. </w:t>
      </w:r>
      <w:r w:rsidR="00D51696" w:rsidRPr="00D51696">
        <w:rPr>
          <w:rFonts w:ascii="Times New Roman" w:hAnsi="Times New Roman" w:cs="Times New Roman"/>
          <w:i/>
          <w:iCs/>
          <w:sz w:val="24"/>
          <w:szCs w:val="24"/>
        </w:rPr>
        <w:t>The Science Journal of the Lander College of Arts and Sciences</w:t>
      </w:r>
      <w:r w:rsidR="00D51696" w:rsidRPr="00D51696">
        <w:rPr>
          <w:rFonts w:ascii="Times New Roman" w:hAnsi="Times New Roman" w:cs="Times New Roman"/>
          <w:sz w:val="24"/>
          <w:szCs w:val="24"/>
        </w:rPr>
        <w:t>, </w:t>
      </w:r>
      <w:r w:rsidR="00D51696" w:rsidRPr="00D51696">
        <w:rPr>
          <w:rFonts w:ascii="Times New Roman" w:hAnsi="Times New Roman" w:cs="Times New Roman"/>
          <w:i/>
          <w:iCs/>
          <w:sz w:val="24"/>
          <w:szCs w:val="24"/>
        </w:rPr>
        <w:t>13</w:t>
      </w:r>
      <w:r w:rsidR="00D51696" w:rsidRPr="00D51696">
        <w:rPr>
          <w:rFonts w:ascii="Times New Roman" w:hAnsi="Times New Roman" w:cs="Times New Roman"/>
          <w:sz w:val="24"/>
          <w:szCs w:val="24"/>
        </w:rPr>
        <w:t>(2), p.5.</w:t>
      </w:r>
    </w:p>
    <w:p w:rsidR="00A64C95" w:rsidRDefault="009E3839" w:rsidP="00B9089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Ganz, T. (</w:t>
      </w:r>
      <w:r w:rsidR="00A64C95" w:rsidRPr="00A64C95">
        <w:rPr>
          <w:rFonts w:ascii="Times New Roman" w:hAnsi="Times New Roman" w:cs="Times New Roman"/>
          <w:sz w:val="24"/>
          <w:szCs w:val="24"/>
        </w:rPr>
        <w:t>2019</w:t>
      </w:r>
      <w:r>
        <w:rPr>
          <w:rFonts w:ascii="Times New Roman" w:hAnsi="Times New Roman" w:cs="Times New Roman"/>
          <w:sz w:val="24"/>
          <w:szCs w:val="24"/>
        </w:rPr>
        <w:t>)</w:t>
      </w:r>
      <w:r w:rsidR="00A64C95" w:rsidRPr="00A64C95">
        <w:rPr>
          <w:rFonts w:ascii="Times New Roman" w:hAnsi="Times New Roman" w:cs="Times New Roman"/>
          <w:sz w:val="24"/>
          <w:szCs w:val="24"/>
        </w:rPr>
        <w:t>. Anemia of chronic disease. </w:t>
      </w:r>
      <w:r w:rsidR="00A64C95" w:rsidRPr="00A64C95">
        <w:rPr>
          <w:rFonts w:ascii="Times New Roman" w:hAnsi="Times New Roman" w:cs="Times New Roman"/>
          <w:i/>
          <w:iCs/>
          <w:sz w:val="24"/>
          <w:szCs w:val="24"/>
        </w:rPr>
        <w:t>Molecular Hematology</w:t>
      </w:r>
      <w:r w:rsidR="00A64C95" w:rsidRPr="00A64C95">
        <w:rPr>
          <w:rFonts w:ascii="Times New Roman" w:hAnsi="Times New Roman" w:cs="Times New Roman"/>
          <w:sz w:val="24"/>
          <w:szCs w:val="24"/>
        </w:rPr>
        <w:t>, pp.155-160.</w:t>
      </w:r>
    </w:p>
    <w:p w:rsidR="00A64C95" w:rsidRPr="00A64C95" w:rsidRDefault="00A64C95" w:rsidP="00B90890">
      <w:pPr>
        <w:spacing w:after="0" w:line="480" w:lineRule="auto"/>
        <w:ind w:left="720" w:hanging="720"/>
        <w:contextualSpacing/>
        <w:rPr>
          <w:rFonts w:ascii="Times New Roman" w:hAnsi="Times New Roman" w:cs="Times New Roman"/>
          <w:sz w:val="24"/>
          <w:szCs w:val="24"/>
        </w:rPr>
      </w:pPr>
      <w:r w:rsidRPr="00A64C95">
        <w:rPr>
          <w:rFonts w:ascii="Times New Roman" w:hAnsi="Times New Roman" w:cs="Times New Roman"/>
          <w:sz w:val="24"/>
          <w:szCs w:val="24"/>
        </w:rPr>
        <w:t>Lopez, A., Cacoub, P., Macdougall</w:t>
      </w:r>
      <w:r w:rsidR="009E3839">
        <w:rPr>
          <w:rFonts w:ascii="Times New Roman" w:hAnsi="Times New Roman" w:cs="Times New Roman"/>
          <w:sz w:val="24"/>
          <w:szCs w:val="24"/>
        </w:rPr>
        <w:t>, I.C. and Peyrin-Biroulet, L. (</w:t>
      </w:r>
      <w:r w:rsidRPr="00A64C95">
        <w:rPr>
          <w:rFonts w:ascii="Times New Roman" w:hAnsi="Times New Roman" w:cs="Times New Roman"/>
          <w:sz w:val="24"/>
          <w:szCs w:val="24"/>
        </w:rPr>
        <w:t>2016</w:t>
      </w:r>
      <w:r w:rsidR="009E3839">
        <w:rPr>
          <w:rFonts w:ascii="Times New Roman" w:hAnsi="Times New Roman" w:cs="Times New Roman"/>
          <w:sz w:val="24"/>
          <w:szCs w:val="24"/>
        </w:rPr>
        <w:t>)</w:t>
      </w:r>
      <w:r w:rsidRPr="00A64C95">
        <w:rPr>
          <w:rFonts w:ascii="Times New Roman" w:hAnsi="Times New Roman" w:cs="Times New Roman"/>
          <w:sz w:val="24"/>
          <w:szCs w:val="24"/>
        </w:rPr>
        <w:t>. Iron deficiency anaemia. </w:t>
      </w:r>
      <w:r w:rsidRPr="00A64C95">
        <w:rPr>
          <w:rFonts w:ascii="Times New Roman" w:hAnsi="Times New Roman" w:cs="Times New Roman"/>
          <w:i/>
          <w:iCs/>
          <w:sz w:val="24"/>
          <w:szCs w:val="24"/>
        </w:rPr>
        <w:t>The Lancet</w:t>
      </w:r>
      <w:r w:rsidRPr="00A64C95">
        <w:rPr>
          <w:rFonts w:ascii="Times New Roman" w:hAnsi="Times New Roman" w:cs="Times New Roman"/>
          <w:sz w:val="24"/>
          <w:szCs w:val="24"/>
        </w:rPr>
        <w:t>, </w:t>
      </w:r>
      <w:r w:rsidRPr="00A64C95">
        <w:rPr>
          <w:rFonts w:ascii="Times New Roman" w:hAnsi="Times New Roman" w:cs="Times New Roman"/>
          <w:i/>
          <w:iCs/>
          <w:sz w:val="24"/>
          <w:szCs w:val="24"/>
        </w:rPr>
        <w:t>387</w:t>
      </w:r>
      <w:r w:rsidRPr="00A64C95">
        <w:rPr>
          <w:rFonts w:ascii="Times New Roman" w:hAnsi="Times New Roman" w:cs="Times New Roman"/>
          <w:sz w:val="24"/>
          <w:szCs w:val="24"/>
        </w:rPr>
        <w:t>(10021), pp.907-916.</w:t>
      </w:r>
    </w:p>
    <w:sectPr w:rsidR="00A64C95" w:rsidRPr="00A64C95" w:rsidSect="00B9089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F4E" w:rsidRDefault="00E37F4E" w:rsidP="00B90890">
      <w:pPr>
        <w:spacing w:after="0" w:line="240" w:lineRule="auto"/>
      </w:pPr>
      <w:r>
        <w:separator/>
      </w:r>
    </w:p>
  </w:endnote>
  <w:endnote w:type="continuationSeparator" w:id="0">
    <w:p w:rsidR="00E37F4E" w:rsidRDefault="00E37F4E" w:rsidP="00B90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F4E" w:rsidRDefault="00E37F4E" w:rsidP="00B90890">
      <w:pPr>
        <w:spacing w:after="0" w:line="240" w:lineRule="auto"/>
      </w:pPr>
      <w:r>
        <w:separator/>
      </w:r>
    </w:p>
  </w:footnote>
  <w:footnote w:type="continuationSeparator" w:id="0">
    <w:p w:rsidR="00E37F4E" w:rsidRDefault="00E37F4E" w:rsidP="00B908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890" w:rsidRPr="00B90890" w:rsidRDefault="00B90890" w:rsidP="00B9089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890" w:rsidRPr="00B90890" w:rsidRDefault="00B90890" w:rsidP="00B90890">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E2A"/>
    <w:rsid w:val="000F56A4"/>
    <w:rsid w:val="00134D80"/>
    <w:rsid w:val="001C65EA"/>
    <w:rsid w:val="001D60CD"/>
    <w:rsid w:val="00247496"/>
    <w:rsid w:val="00252C14"/>
    <w:rsid w:val="00293AA3"/>
    <w:rsid w:val="002A63B7"/>
    <w:rsid w:val="00447844"/>
    <w:rsid w:val="00471260"/>
    <w:rsid w:val="008517A3"/>
    <w:rsid w:val="00893E6E"/>
    <w:rsid w:val="00903A21"/>
    <w:rsid w:val="00930485"/>
    <w:rsid w:val="00930C23"/>
    <w:rsid w:val="009D4E2A"/>
    <w:rsid w:val="009E3839"/>
    <w:rsid w:val="00A64C95"/>
    <w:rsid w:val="00AE3DE0"/>
    <w:rsid w:val="00B90890"/>
    <w:rsid w:val="00B93FE8"/>
    <w:rsid w:val="00BE11A4"/>
    <w:rsid w:val="00C63B66"/>
    <w:rsid w:val="00C86E15"/>
    <w:rsid w:val="00D51696"/>
    <w:rsid w:val="00D52075"/>
    <w:rsid w:val="00D542B7"/>
    <w:rsid w:val="00DE0967"/>
    <w:rsid w:val="00E37F4E"/>
    <w:rsid w:val="00E85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F888AE-12A4-4DCA-9CF1-210A68C0C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E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890"/>
  </w:style>
  <w:style w:type="paragraph" w:styleId="Footer">
    <w:name w:val="footer"/>
    <w:basedOn w:val="Normal"/>
    <w:link w:val="FooterChar"/>
    <w:uiPriority w:val="99"/>
    <w:unhideWhenUsed/>
    <w:rsid w:val="00B90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4</cp:revision>
  <dcterms:created xsi:type="dcterms:W3CDTF">2020-07-31T23:53:00Z</dcterms:created>
  <dcterms:modified xsi:type="dcterms:W3CDTF">2020-07-31T23:57:00Z</dcterms:modified>
</cp:coreProperties>
</file>