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Abortion</w:t>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debate about abortion deals with the wrongs and rights of intentionally terminating a pregnancy before normal birth of a child, and during the process, one ends up killing the fetus. Abortion is among the most painful topics for both men and women who find themselves in the quandary of whether or not to end a pregnancy. It is an important topic because it is one of the most polarizing moral and ethical issues. Many people end up on one side or the other, and most of the people find themselves are undecided. Concluding that abortion is unethical, that does not necessarily imply that it is not right for a woman to have an abortion. Pazol et al. (2014), posit that the society inquires whether it is the best thing to have abortion or least lousy idea for one to do in either case. If people can conclude that abortion is immoral, that does not mean that it is often forbidden to do abortion, they need to ask whether doing abortion hurts less than the alternatives.</w:t>
      </w:r>
    </w:p>
    <w:p w:rsidR="00000000" w:rsidDel="00000000" w:rsidP="00000000" w:rsidRDefault="00000000" w:rsidRPr="00000000" w14:paraId="0000000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Provision of safe abortion has been considered as a critical human right by various organizations that argue that a woman should be allowed the chance to carry a pregnancy or to eliminate it. Others hold that services of safe abortion should be an integral Section of a comprehensive sexual health program. Additionally, illegality, as well as inadequate funding, does not assist in minimizing the number of abortions being done, but hey only work to endanger a woman's health. The purpose of the topic of abortion is to help assess</w:t>
      </w:r>
      <w:r w:rsidDel="00000000" w:rsidR="00000000" w:rsidRPr="00000000">
        <w:rPr>
          <w:rtl w:val="0"/>
        </w:rPr>
        <w:t xml:space="preserve"> whether </w:t>
      </w:r>
      <w:r w:rsidDel="00000000" w:rsidR="00000000" w:rsidRPr="00000000">
        <w:rPr>
          <w:rFonts w:ascii="Times New Roman" w:cs="Times New Roman" w:eastAsia="Times New Roman" w:hAnsi="Times New Roman"/>
          <w:sz w:val="24"/>
          <w:szCs w:val="24"/>
          <w:rtl w:val="0"/>
        </w:rPr>
        <w:t xml:space="preserve">abortion leads to emotional and psychological distress, negative feelings, and mental problems. For those who are against abortion argue that abortion is murder and denies the fetus the potential of the future, and therefore, abortion is unethical and morally wrong. So, abortion should not be permitted from the time of conception. The arguments that support abortion hold that abortion should be accepted since a fetus is not a person but undeniably a human being.</w:t>
      </w:r>
    </w:p>
    <w:p w:rsidR="00000000" w:rsidDel="00000000" w:rsidP="00000000" w:rsidRDefault="00000000" w:rsidRPr="00000000" w14:paraId="0000000E">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Literature Review</w:t>
      </w:r>
    </w:p>
    <w:p w:rsidR="00000000" w:rsidDel="00000000" w:rsidP="00000000" w:rsidRDefault="00000000" w:rsidRPr="00000000" w14:paraId="0000000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a global rate, the level of maternal mortality is more prominent than in areas that have a higher rate of unsafe abortion as well as in the areas where there are extreme legal regulations to eliminate pregnancy willingly. In his literature review, Briozzo (2016) posit that incorporation of framework for minimizing harm and risk of unsafe abortions led to advancement of reproductive and sexual rights, more so concerning prevention of non-medical abortion. According to </w:t>
      </w:r>
      <w:commentRangeStart w:id="0"/>
      <w:r w:rsidDel="00000000" w:rsidR="00000000" w:rsidRPr="00000000">
        <w:rPr>
          <w:rFonts w:ascii="Times New Roman" w:cs="Times New Roman" w:eastAsia="Times New Roman" w:hAnsi="Times New Roman"/>
          <w:sz w:val="24"/>
          <w:szCs w:val="24"/>
          <w:rtl w:val="0"/>
        </w:rPr>
        <w:t xml:space="preserve">Thomson (1976), </w:t>
      </w:r>
      <w:commentRangeEnd w:id="0"/>
      <w:r w:rsidDel="00000000" w:rsidR="00000000" w:rsidRPr="00000000">
        <w:commentReference w:id="0"/>
      </w:r>
      <w:r w:rsidDel="00000000" w:rsidR="00000000" w:rsidRPr="00000000">
        <w:rPr>
          <w:rFonts w:ascii="Times New Roman" w:cs="Times New Roman" w:eastAsia="Times New Roman" w:hAnsi="Times New Roman"/>
          <w:sz w:val="24"/>
          <w:szCs w:val="24"/>
          <w:rtl w:val="0"/>
        </w:rPr>
        <w:t xml:space="preserve">such progress can be achieved via the actions of fundamental socio-political bodies that are committed to promoting these efforts. In his literature review, Jones (2007) assert that the social movement for women as well as the feminist movement has aimed at pro-rights by ascertaining that there is momentum for advocating women rights for more than 30 years. </w:t>
      </w:r>
    </w:p>
    <w:p w:rsidR="00000000" w:rsidDel="00000000" w:rsidP="00000000" w:rsidRDefault="00000000" w:rsidRPr="00000000" w14:paraId="0000001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Influential and vital sectors of the professional and medical development been incorporated to enlarge the subject on abortion regarding rights to healthcare, creating and executing the framework of minimizing the harm and risk of unsafe abortions (De Zordo, 2017). In the article by Beckwith (2007), it is noted that the establishment and application of clinical standards and guidelines have often promoted the issuance of safe abortion. In the research conducted by Labandera et al. (2016) about effects of unsafe abortion, it was found that the access of reliable health services about abortion has experienced further expansion by permitting skilled and trained middle health doctors to give abortion services in various nations of the world.</w:t>
      </w:r>
    </w:p>
    <w:p w:rsidR="00000000" w:rsidDel="00000000" w:rsidP="00000000" w:rsidRDefault="00000000" w:rsidRPr="00000000" w14:paraId="0000001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highly restrictive contexts, clandestine abortions are deemed as safer since fewer of them happen by invasive and dangerous methods (Kretschmer, 2014, December). In their survey about the prevalence of safe abortions, Johnstone &amp; Macfarlane (2015) found that women are significantly applying medication abortion techniques solely by depending on misoprostol alone. This is easy to implement since the drug is easy to get and can be consolidated in mifepristone and misoprostol methods. As they reach for quality healthcare generally advances, and most national authorities increasingly implement the guidelines shared by the World Health Organization (WHO) concerning the quality of post-abortion care (Doran &amp; Nancarrow, 2015). </w:t>
      </w:r>
    </w:p>
    <w:p w:rsidR="00000000" w:rsidDel="00000000" w:rsidP="00000000" w:rsidRDefault="00000000" w:rsidRPr="00000000" w14:paraId="0000001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incorporated outcomes these safer and trends processes are implying that very few women are succumbing to unsafe abortion. Out of all the abortions done across the world, about 55 percent are termed as safe, and they are executed by the use of appropriate and recommended techniques under the watch of trained professionals. Unsafe abortions happen mostly in developing countries as well as the nations that much restrict abortion. According to Doran &amp; Nancarrow (2015), in nations where unsafe abortions are prevalent about 40 percent of women experience post-abortion complications that call severe medical attention.</w:t>
      </w:r>
    </w:p>
    <w:p w:rsidR="00000000" w:rsidDel="00000000" w:rsidP="00000000" w:rsidRDefault="00000000" w:rsidRPr="00000000" w14:paraId="00000013">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Research Questions and Hypothesis</w:t>
      </w:r>
    </w:p>
    <w:p w:rsidR="00000000" w:rsidDel="00000000" w:rsidP="00000000" w:rsidRDefault="00000000" w:rsidRPr="00000000" w14:paraId="0000001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research paper will focus on the question, does abortion lead to negative psychological and emotional feelings to those who carry out abortions? This research paper will test the hypothesis of whether abortion leads to emotional and psychological distress, negative feelings, and mental problems. According to Pazol et al. (2014), the quality of reports about induced abortion in women is critical for the improvement of estimates of the overall number of pregnancies, which is essential for epidemiological and demographic studies of the about the determinants of productivity among the populations. The paper will also work on the hypotheses of reducing the bias witnessed in the evaluation of unwanted pregnancies and the failures of contraceptives that have been experienced. The paper will endeavor to estimate the reliability of data about induced abortion as well as characterizing the significant factors that are related to the study question.</w:t>
      </w:r>
    </w:p>
    <w:p w:rsidR="00000000" w:rsidDel="00000000" w:rsidP="00000000" w:rsidRDefault="00000000" w:rsidRPr="00000000" w14:paraId="00000015">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Methods</w:t>
      </w:r>
    </w:p>
    <w:p w:rsidR="00000000" w:rsidDel="00000000" w:rsidP="00000000" w:rsidRDefault="00000000" w:rsidRPr="00000000" w14:paraId="00000016">
      <w:pPr>
        <w:spacing w:line="480" w:lineRule="auto"/>
        <w:ind w:firstLine="720"/>
        <w:rPr>
          <w:rFonts w:ascii="Times New Roman" w:cs="Times New Roman" w:eastAsia="Times New Roman" w:hAnsi="Times New Roman"/>
          <w:sz w:val="24"/>
          <w:szCs w:val="24"/>
        </w:rPr>
      </w:pPr>
      <w:commentRangeStart w:id="1"/>
      <w:r w:rsidDel="00000000" w:rsidR="00000000" w:rsidRPr="00000000">
        <w:rPr>
          <w:rFonts w:ascii="Times New Roman" w:cs="Times New Roman" w:eastAsia="Times New Roman" w:hAnsi="Times New Roman"/>
          <w:sz w:val="24"/>
          <w:szCs w:val="24"/>
          <w:rtl w:val="0"/>
        </w:rPr>
        <w:t xml:space="preserve">The method of data collection will be surveying technique. This being socio-epidemiological cohort research, the survey method will help in finding the determinants that surround the abortion debate as well as the resources of abortion. This research study will utilize a survey method by employing a representative sample of a given population. The women will be chosen using a sampling scheme that will be structured to address the issues of those that would have experienced induced abortion or unwanted pregnancy.</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17">
      <w:pPr>
        <w:spacing w:line="480" w:lineRule="auto"/>
        <w:ind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Ethical Considerations</w:t>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commentRangeStart w:id="2"/>
      <w:r w:rsidDel="00000000" w:rsidR="00000000" w:rsidRPr="00000000">
        <w:rPr>
          <w:rFonts w:ascii="Times New Roman" w:cs="Times New Roman" w:eastAsia="Times New Roman" w:hAnsi="Times New Roman"/>
          <w:sz w:val="24"/>
          <w:szCs w:val="24"/>
          <w:rtl w:val="0"/>
        </w:rPr>
        <w:t xml:space="preserve">There are various ethical and moral issues which may emerge concerning unwanted pregnancy and abortion. Many states of the world that support the rights of women to formulate her own decisions about pregnancy, regarding her specific circumstances, for her thoughts and values. Such information is not purposed to influence women on what they need to think about abortion, but it intends to explore some dilemmas as well as ideas that the majority of women experience when deciding unwanted pregnancy. Some women strongly believe that abortion is unethical and immoral before becoming pregnant. But when one encounters an unwanted pregnancy and evaluate their current scenario, one may end up feeling that it is unethical to bring an innocent child in the world due to their situation (Cohen &amp; Wellman, 2014).</w:t>
      </w:r>
    </w:p>
    <w:p w:rsidR="00000000" w:rsidDel="00000000" w:rsidP="00000000" w:rsidRDefault="00000000" w:rsidRPr="00000000" w14:paraId="0000001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Beginning with the premise that prevention of tribulations and promotion of freedom are crucial goals that society need to support, then the idea of women forced into suffering or even death should make people more worried. Denying women abortion is unethical since it subordinates them to a reproductive end. The modern tendency to characterize issues concerning abortion ethics concerning matters of fetuses, or even fetal freedom appears to discriminate women as well as the realities that surround the women’s lives. When looking into the ethics of abortion, it is worth putting women at the center stage of the issue and trying to ass why they opt for abortion. The most common reason across the world according to research why women prefer abortion is that it is a way of stopping or postponing childbearing. According to Watt (2016), abortion is one way of family planning, although it is politically incorrect to say so. Other reasons why women do abortion include avoiding disruption of employment or education, lack of support from the father, relationship tribulations with a partner, a woman’s perception that she is not ready to have children. Other factors such as unemployment, poverty, or inability to manage additional kids.</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1A">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Discussion</w:t>
      </w:r>
    </w:p>
    <w:p w:rsidR="00000000" w:rsidDel="00000000" w:rsidP="00000000" w:rsidRDefault="00000000" w:rsidRPr="00000000" w14:paraId="0000001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model of cutting down the harm and risk of unsafe abortions always has a significant effect on maternal morbidity as well as mortality. Additionally, the model can lead to a possible change, especially about the emotions and attitudes of the health systems and associated professionals. This scenario is essential since it creates a common pathway that is applied in handling abortion as a public health issue that should be decriminalized. The feminist and women's movements have been continuously and tirelessly working for the decriminalization of abortion. The low occurrence of the prevalence of attempted abortion accessed within a given period is due to the enaction of the law that aims at decriminalizing abortion. Inclusion of education in both sexual and reproductive health, ensuring appropriate reach for contraception as well as the framework of minimizing harm and risk of unsafe abortions are among the fundamental goals of women's and feminist movements (Jones &amp; Jerman, 2017). By encouraging consultation in the healthcare system, the model will end up including post-abortion care, hence minimizing unwanted pregnancy through the provision of contraceptive techniques.</w:t>
      </w:r>
    </w:p>
    <w:p w:rsidR="00000000" w:rsidDel="00000000" w:rsidP="00000000" w:rsidRDefault="00000000" w:rsidRPr="00000000" w14:paraId="0000001C">
      <w:pPr>
        <w:spacing w:line="480" w:lineRule="auto"/>
        <w:ind w:firstLine="72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The reports of maternal deaths due to unsafe abortion even when people are living in the third stage of decriminalizing abortion, will help in providing accessible, confidential and sensitive to women who have the burden of unwanted pregnancy. Jones &amp; Jerman (2017) further posit that when creating the teams of health professionals, certain conscientious prohibition is not a big problem with the condition that these professionals provide necessary directions concerning safe abortions. Additionally, objection for convenience, false conscientious objection, as well as civil disobedience, form adverse issues that corrode and weaken the ethical and moral commitment. There could inevitably be women who at this era endanger their lives through subjecting themselves to unsafe and clandestine abortions that need legal transformation to be allowed the opportunity to exercise their rights.</w:t>
      </w:r>
    </w:p>
    <w:p w:rsidR="00000000" w:rsidDel="00000000" w:rsidP="00000000" w:rsidRDefault="00000000" w:rsidRPr="00000000" w14:paraId="0000001D">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Limitations</w:t>
      </w:r>
    </w:p>
    <w:p w:rsidR="00000000" w:rsidDel="00000000" w:rsidP="00000000" w:rsidRDefault="00000000" w:rsidRPr="00000000" w14:paraId="0000001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Services about abortion sit within the sophisticated setting of ethical, social and legal framework, therefore this research paper proposal will narrow its focus on identifying facilitators and barriers of abortion services which are appropriate in the context that is homogenous to developed nations for women who have acquired the legal age during the first trimester of pregnancy (Briozzo, 2016). There are various challenges in giving an overview across nations that are heterogeneous with varied legal and social contexts. Well, known barriers like stigma, difficulties in-licensing and importing drugs for abortion, sophisticated systems for referrals, and doctor requirements may not be a considerable limitation to this study.</w:t>
      </w:r>
    </w:p>
    <w:p w:rsidR="00000000" w:rsidDel="00000000" w:rsidP="00000000" w:rsidRDefault="00000000" w:rsidRPr="00000000" w14:paraId="0000001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summation,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based on this research paper proposal, the elucidated mechanisms for enhancing abortion services include the early provision of abortion services, near to the home of a woman which will involve giving telemedicine or midlevel providers with adequate training. Additionally, increased access to providers who are willing to provide abortion services, establishing models that are well networked to give both tertiary and secondary healthcare support needed and access to mifepristone will be necessary. Moreover, making abortion services affordable or free at each point of service for all women and creating primary contact activities so that no woman will need referral services is necessary for addressing the issue of abortion.</w:t>
      </w:r>
    </w:p>
    <w:p w:rsidR="00000000" w:rsidDel="00000000" w:rsidP="00000000" w:rsidRDefault="00000000" w:rsidRPr="00000000" w14:paraId="0000002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C">
      <w:pPr>
        <w:spacing w:line="480" w:lineRule="auto"/>
        <w:ind w:left="720" w:hanging="720"/>
        <w:rPr>
          <w:rFonts w:ascii="Times New Roman" w:cs="Times New Roman" w:eastAsia="Times New Roman" w:hAnsi="Times New Roman"/>
          <w:sz w:val="24"/>
          <w:szCs w:val="24"/>
        </w:rPr>
      </w:pPr>
      <w:commentRangeStart w:id="3"/>
      <w:commentRangeStart w:id="4"/>
      <w:r w:rsidDel="00000000" w:rsidR="00000000" w:rsidRPr="00000000">
        <w:rPr>
          <w:rFonts w:ascii="Times New Roman" w:cs="Times New Roman" w:eastAsia="Times New Roman" w:hAnsi="Times New Roman"/>
          <w:sz w:val="24"/>
          <w:szCs w:val="24"/>
          <w:rtl w:val="0"/>
        </w:rPr>
        <w:t xml:space="preserve">Beckwith, F. J. (2007). Defending </w:t>
      </w:r>
      <w:commentRangeEnd w:id="4"/>
      <w:r w:rsidDel="00000000" w:rsidR="00000000" w:rsidRPr="00000000">
        <w:commentReference w:id="4"/>
      </w:r>
      <w:r w:rsidDel="00000000" w:rsidR="00000000" w:rsidRPr="00000000">
        <w:rPr>
          <w:rFonts w:ascii="Times New Roman" w:cs="Times New Roman" w:eastAsia="Times New Roman" w:hAnsi="Times New Roman"/>
          <w:sz w:val="24"/>
          <w:szCs w:val="24"/>
          <w:rtl w:val="0"/>
        </w:rPr>
        <w:t xml:space="preserve">life: A moral and legal case against abortion choice.Cambridge University Press.</w:t>
      </w:r>
    </w:p>
    <w:p w:rsidR="00000000" w:rsidDel="00000000" w:rsidP="00000000" w:rsidRDefault="00000000" w:rsidRPr="00000000" w14:paraId="0000002D">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Briozzo, L. (2016). From risk and harm reduction to decriminalizing abortion: The Uruguayan model for women's rights. International Journal of Gynecology &amp; Obstetrics, 134(S1), S3-S6.</w:t>
      </w:r>
    </w:p>
    <w:p w:rsidR="00000000" w:rsidDel="00000000" w:rsidP="00000000" w:rsidRDefault="00000000" w:rsidRPr="00000000" w14:paraId="0000002E">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Cohen, A. I., &amp; Wellman, C. H. (Eds.). (2014). Contemporary debates in applied ethics. John Wiley &amp; Sons.</w:t>
      </w:r>
    </w:p>
    <w:p w:rsidR="00000000" w:rsidDel="00000000" w:rsidP="00000000" w:rsidRDefault="00000000" w:rsidRPr="00000000" w14:paraId="0000002F">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Zordo, S. (2017). The moral case for abortion Ann Furedi. Feminism &amp; Psychology, 27(2), 251–255. https://doi.org/10.1177/0959353517698998bortion. Springer.</w:t>
      </w:r>
    </w:p>
    <w:p w:rsidR="00000000" w:rsidDel="00000000" w:rsidP="00000000" w:rsidRDefault="00000000" w:rsidRPr="00000000" w14:paraId="00000030">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Doran, F., &amp; Nancarrow, S. (2015). Barriers and facilitators of access to first-trimester abortion services for women in the developed world: a systematic review. J Fam Plann Reprod Health Care, 41(3), 170-180.</w:t>
      </w:r>
    </w:p>
    <w:p w:rsidR="00000000" w:rsidDel="00000000" w:rsidP="00000000" w:rsidRDefault="00000000" w:rsidRPr="00000000" w14:paraId="00000031">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Johnstone, R., &amp; Macfarlane, E. (2015). Public policy, rights, and abortion access in Canada. International Journal of Canadian Studies, 51, 97-120.</w:t>
      </w:r>
    </w:p>
    <w:p w:rsidR="00000000" w:rsidDel="00000000" w:rsidP="00000000" w:rsidRDefault="00000000" w:rsidRPr="00000000" w14:paraId="00000032">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Jones, K. (2007). Ethics of abortion: the arguments for and against. Nursing standard, 21(37).</w:t>
      </w:r>
    </w:p>
    <w:p w:rsidR="00000000" w:rsidDel="00000000" w:rsidP="00000000" w:rsidRDefault="00000000" w:rsidRPr="00000000" w14:paraId="00000033">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Jones, R. K., &amp; Jerman, J. (2017). Abortion incidence and service availability in the United States, 2014. </w:t>
      </w:r>
      <w:r w:rsidDel="00000000" w:rsidR="00000000" w:rsidRPr="00000000">
        <w:rPr>
          <w:rFonts w:ascii="Times New Roman" w:cs="Times New Roman" w:eastAsia="Times New Roman" w:hAnsi="Times New Roman"/>
          <w:i w:val="1"/>
          <w:color w:val="222222"/>
          <w:sz w:val="24"/>
          <w:szCs w:val="24"/>
          <w:highlight w:val="white"/>
          <w:rtl w:val="0"/>
        </w:rPr>
        <w:t xml:space="preserve">Perspectives on sexual and reproductive health</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49</w:t>
      </w:r>
      <w:r w:rsidDel="00000000" w:rsidR="00000000" w:rsidRPr="00000000">
        <w:rPr>
          <w:rFonts w:ascii="Times New Roman" w:cs="Times New Roman" w:eastAsia="Times New Roman" w:hAnsi="Times New Roman"/>
          <w:color w:val="222222"/>
          <w:sz w:val="24"/>
          <w:szCs w:val="24"/>
          <w:highlight w:val="white"/>
          <w:rtl w:val="0"/>
        </w:rPr>
        <w:t xml:space="preserve">(1), 17-27.</w:t>
      </w:r>
      <w:r w:rsidDel="00000000" w:rsidR="00000000" w:rsidRPr="00000000">
        <w:rPr>
          <w:rtl w:val="0"/>
        </w:rPr>
      </w:r>
    </w:p>
    <w:p w:rsidR="00000000" w:rsidDel="00000000" w:rsidP="00000000" w:rsidRDefault="00000000" w:rsidRPr="00000000" w14:paraId="00000034">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Kretschmer, K. (2014, December). Shifting boundaries and splintering movements: Abortion rights in the feminist and new right movements. In Sociological Forum (Vol. 29, No. 4, pp. 893-915).</w:t>
      </w:r>
    </w:p>
    <w:p w:rsidR="00000000" w:rsidDel="00000000" w:rsidP="00000000" w:rsidRDefault="00000000" w:rsidRPr="00000000" w14:paraId="00000035">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Labandera, A., Gorgoroso, M., &amp; Briozzo, L. (2016). Implementation of the risk and harm reduction strategy against unsafe abortion in Uruguay: From a university hospital to the entire country. International Journal of Gynecology &amp; Obstetrics, 134(S1), S7-S11.</w:t>
      </w:r>
    </w:p>
    <w:p w:rsidR="00000000" w:rsidDel="00000000" w:rsidP="00000000" w:rsidRDefault="00000000" w:rsidRPr="00000000" w14:paraId="00000036">
      <w:pPr>
        <w:spacing w:line="480" w:lineRule="auto"/>
        <w:ind w:left="720" w:hanging="72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Pazol, K., Creanga, A. A., Burley, K. D., &amp; Jamieson, D. J. (2014). Abortion surveillance—United States, 2011. </w:t>
      </w:r>
      <w:r w:rsidDel="00000000" w:rsidR="00000000" w:rsidRPr="00000000">
        <w:rPr>
          <w:rFonts w:ascii="Times New Roman" w:cs="Times New Roman" w:eastAsia="Times New Roman" w:hAnsi="Times New Roman"/>
          <w:i w:val="1"/>
          <w:color w:val="222222"/>
          <w:sz w:val="24"/>
          <w:szCs w:val="24"/>
          <w:highlight w:val="white"/>
          <w:rtl w:val="0"/>
        </w:rPr>
        <w:t xml:space="preserve">Morbidity and Mortality Weekly Report: Surveillance Summaries</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63</w:t>
      </w:r>
      <w:r w:rsidDel="00000000" w:rsidR="00000000" w:rsidRPr="00000000">
        <w:rPr>
          <w:rFonts w:ascii="Times New Roman" w:cs="Times New Roman" w:eastAsia="Times New Roman" w:hAnsi="Times New Roman"/>
          <w:color w:val="222222"/>
          <w:sz w:val="24"/>
          <w:szCs w:val="24"/>
          <w:highlight w:val="white"/>
          <w:rtl w:val="0"/>
        </w:rPr>
        <w:t xml:space="preserve">(11), 1-41.</w:t>
      </w:r>
    </w:p>
    <w:p w:rsidR="00000000" w:rsidDel="00000000" w:rsidP="00000000" w:rsidRDefault="00000000" w:rsidRPr="00000000" w14:paraId="00000037">
      <w:pPr>
        <w:spacing w:line="480" w:lineRule="auto"/>
        <w:ind w:left="720" w:hanging="720"/>
        <w:rPr>
          <w:rFonts w:ascii="Times New Roman" w:cs="Times New Roman" w:eastAsia="Times New Roman" w:hAnsi="Times New Roman"/>
          <w:sz w:val="24"/>
          <w:szCs w:val="24"/>
        </w:rPr>
      </w:pPr>
      <w:commentRangeStart w:id="5"/>
      <w:r w:rsidDel="00000000" w:rsidR="00000000" w:rsidRPr="00000000">
        <w:rPr>
          <w:rFonts w:ascii="Times New Roman" w:cs="Times New Roman" w:eastAsia="Times New Roman" w:hAnsi="Times New Roman"/>
          <w:sz w:val="24"/>
          <w:szCs w:val="24"/>
          <w:rtl w:val="0"/>
        </w:rPr>
        <w:t xml:space="preserve">Thomson, J. J. (1976). A defense of abortion. In Biomedical ethics and the law (pp. 39-54). Springer, Boston, MA.</w:t>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38">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Watt, H. (2016). The ethics of pregnancy, abortion and childbirth: Exploring moral choices in childbearing. Routledge.</w:t>
      </w:r>
      <w:commentRangeEnd w:id="3"/>
      <w:r w:rsidDel="00000000" w:rsidR="00000000" w:rsidRPr="00000000">
        <w:commentReference w:id="3"/>
      </w:r>
      <w:r w:rsidDel="00000000" w:rsidR="00000000" w:rsidRPr="00000000">
        <w:rPr>
          <w:rtl w:val="0"/>
        </w:rPr>
      </w:r>
    </w:p>
    <w:tbl>
      <w:tblPr>
        <w:tblStyle w:val="Table1"/>
        <w:tblW w:w="9235.0" w:type="dxa"/>
        <w:jc w:val="left"/>
        <w:tblInd w:w="115.0" w:type="pc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6221"/>
        <w:gridCol w:w="3014"/>
        <w:tblGridChange w:id="0">
          <w:tblGrid>
            <w:gridCol w:w="6221"/>
            <w:gridCol w:w="3014"/>
          </w:tblGrid>
        </w:tblGridChange>
      </w:tblGrid>
      <w:tr>
        <w:tc>
          <w:tcPr>
            <w:shd w:fill="bfbfbf" w:val="clear"/>
            <w:tcMar>
              <w:top w:w="58.0" w:type="dxa"/>
              <w:left w:w="115.0" w:type="dxa"/>
              <w:bottom w:w="58.0" w:type="dxa"/>
              <w:right w:w="115.0" w:type="dxa"/>
            </w:tcMar>
          </w:tcPr>
          <w:p w:rsidR="00000000" w:rsidDel="00000000" w:rsidP="00000000" w:rsidRDefault="00000000" w:rsidRPr="00000000" w14:paraId="00000039">
            <w:pPr>
              <w:rPr/>
            </w:pPr>
            <w:bookmarkStart w:colFirst="0" w:colLast="0" w:name="_30j0zll" w:id="1"/>
            <w:bookmarkEnd w:id="1"/>
            <w:r w:rsidDel="00000000" w:rsidR="00000000" w:rsidRPr="00000000">
              <w:rPr>
                <w:rtl w:val="0"/>
              </w:rPr>
            </w:r>
          </w:p>
        </w:tc>
        <w:tc>
          <w:tcPr>
            <w:shd w:fill="bfbfbf" w:val="clear"/>
            <w:tcMar>
              <w:top w:w="58.0" w:type="dxa"/>
              <w:left w:w="115.0" w:type="dxa"/>
              <w:bottom w:w="58.0" w:type="dxa"/>
              <w:right w:w="115.0" w:type="dxa"/>
            </w:tcMar>
          </w:tcPr>
          <w:p w:rsidR="00000000" w:rsidDel="00000000" w:rsidP="00000000" w:rsidRDefault="00000000" w:rsidRPr="00000000" w14:paraId="0000003A">
            <w:pPr>
              <w:rPr/>
            </w:pPr>
            <w:r w:rsidDel="00000000" w:rsidR="00000000" w:rsidRPr="00000000">
              <w:rPr>
                <w:rtl w:val="0"/>
              </w:rPr>
              <w:t xml:space="preserve">Points Earned:  </w:t>
            </w:r>
          </w:p>
          <w:p w:rsidR="00000000" w:rsidDel="00000000" w:rsidP="00000000" w:rsidRDefault="00000000" w:rsidRPr="00000000" w14:paraId="0000003B">
            <w:pPr>
              <w:rPr/>
            </w:pPr>
            <w:r w:rsidDel="00000000" w:rsidR="00000000" w:rsidRPr="00000000">
              <w:rPr>
                <w:rtl w:val="0"/>
              </w:rPr>
              <w:t xml:space="preserve"> 5/8</w:t>
            </w:r>
          </w:p>
        </w:tc>
      </w:tr>
      <w:tr>
        <w:tc>
          <w:tcPr>
            <w:shd w:fill="ffffff" w:val="clear"/>
            <w:tcMar>
              <w:top w:w="58.0" w:type="dxa"/>
              <w:left w:w="115.0" w:type="dxa"/>
              <w:bottom w:w="58.0" w:type="dxa"/>
              <w:right w:w="115.0" w:type="dxa"/>
            </w:tcMar>
          </w:tcPr>
          <w:p w:rsidR="00000000" w:rsidDel="00000000" w:rsidP="00000000" w:rsidRDefault="00000000" w:rsidRPr="00000000" w14:paraId="0000003C">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Proposal includes the following:</w:t>
            </w:r>
          </w:p>
          <w:p w:rsidR="00000000" w:rsidDel="00000000" w:rsidP="00000000" w:rsidRDefault="00000000" w:rsidRPr="00000000" w14:paraId="0000003D">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Introduction</w:t>
            </w:r>
          </w:p>
          <w:p w:rsidR="00000000" w:rsidDel="00000000" w:rsidP="00000000" w:rsidRDefault="00000000" w:rsidRPr="00000000" w14:paraId="0000003E">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Research questions and hypothesis</w:t>
            </w:r>
          </w:p>
          <w:p w:rsidR="00000000" w:rsidDel="00000000" w:rsidP="00000000" w:rsidRDefault="00000000" w:rsidRPr="00000000" w14:paraId="0000003F">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Literature review</w:t>
            </w:r>
          </w:p>
          <w:p w:rsidR="00000000" w:rsidDel="00000000" w:rsidP="00000000" w:rsidRDefault="00000000" w:rsidRPr="00000000" w14:paraId="00000040">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Methods: sample, procedure, and analysis</w:t>
            </w:r>
          </w:p>
          <w:p w:rsidR="00000000" w:rsidDel="00000000" w:rsidP="00000000" w:rsidRDefault="00000000" w:rsidRPr="00000000" w14:paraId="00000041">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Ethical considerations</w:t>
            </w:r>
          </w:p>
          <w:p w:rsidR="00000000" w:rsidDel="00000000" w:rsidP="00000000" w:rsidRDefault="00000000" w:rsidRPr="00000000" w14:paraId="00000042">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Discussion: expected results, conclusions, and limitations</w:t>
            </w:r>
          </w:p>
          <w:p w:rsidR="00000000" w:rsidDel="00000000" w:rsidP="00000000" w:rsidRDefault="00000000" w:rsidRPr="00000000" w14:paraId="00000043">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References</w:t>
            </w:r>
            <w:r w:rsidDel="00000000" w:rsidR="00000000" w:rsidRPr="00000000">
              <w:rPr>
                <w:rtl w:val="0"/>
              </w:rPr>
            </w:r>
          </w:p>
          <w:p w:rsidR="00000000" w:rsidDel="00000000" w:rsidP="00000000" w:rsidRDefault="00000000" w:rsidRPr="00000000" w14:paraId="00000044">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paper represents a researchable problem</w:t>
            </w:r>
            <w:r w:rsidDel="00000000" w:rsidR="00000000" w:rsidRPr="00000000">
              <w:rPr>
                <w:rtl w:val="0"/>
              </w:rPr>
            </w:r>
          </w:p>
          <w:p w:rsidR="00000000" w:rsidDel="00000000" w:rsidP="00000000" w:rsidRDefault="00000000" w:rsidRPr="00000000" w14:paraId="00000045">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Less than 50% Plagiarism Index</w:t>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shd w:fill="ffffff" w:val="clear"/>
            <w:tcMar>
              <w:top w:w="58.0" w:type="dxa"/>
              <w:left w:w="115.0" w:type="dxa"/>
              <w:bottom w:w="58.0" w:type="dxa"/>
              <w:right w:w="115.0" w:type="dxa"/>
            </w:tcMar>
          </w:tcPr>
          <w:p w:rsidR="00000000" w:rsidDel="00000000" w:rsidP="00000000" w:rsidRDefault="00000000" w:rsidRPr="00000000" w14:paraId="00000047">
            <w:pPr>
              <w:rPr/>
            </w:pPr>
            <w:r w:rsidDel="00000000" w:rsidR="00000000" w:rsidRPr="00000000">
              <w:rPr>
                <w:rtl w:val="0"/>
              </w:rPr>
              <w:t xml:space="preserve">Comments:</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You have all the sections, but do not correctly address the required content.  See my comments above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tc>
      </w:tr>
      <w:tr>
        <w:tc>
          <w:tcPr>
            <w:shd w:fill="bfbfbf" w:val="clear"/>
            <w:tcMar>
              <w:top w:w="58.0" w:type="dxa"/>
              <w:left w:w="115.0" w:type="dxa"/>
              <w:bottom w:w="58.0" w:type="dxa"/>
              <w:right w:w="115.0" w:type="dxa"/>
            </w:tcMar>
          </w:tcPr>
          <w:p w:rsidR="00000000" w:rsidDel="00000000" w:rsidP="00000000" w:rsidRDefault="00000000" w:rsidRPr="00000000" w14:paraId="0000004D">
            <w:pPr>
              <w:rPr/>
            </w:pPr>
            <w:r w:rsidDel="00000000" w:rsidR="00000000" w:rsidRPr="00000000">
              <w:rPr>
                <w:rtl w:val="0"/>
              </w:rPr>
              <w:t xml:space="preserve">Organization and Development</w:t>
            </w:r>
          </w:p>
          <w:p w:rsidR="00000000" w:rsidDel="00000000" w:rsidP="00000000" w:rsidRDefault="00000000" w:rsidRPr="00000000" w14:paraId="0000004E">
            <w:pPr>
              <w:rPr/>
            </w:pPr>
            <w:r w:rsidDel="00000000" w:rsidR="00000000" w:rsidRPr="00000000">
              <w:rPr>
                <w:rtl w:val="0"/>
              </w:rPr>
              <w:t xml:space="preserve">20 Percent</w:t>
            </w:r>
          </w:p>
        </w:tc>
        <w:tc>
          <w:tcPr>
            <w:shd w:fill="bfbfbf" w:val="clear"/>
            <w:tcMar>
              <w:top w:w="58.0" w:type="dxa"/>
              <w:left w:w="115.0" w:type="dxa"/>
              <w:bottom w:w="58.0" w:type="dxa"/>
              <w:right w:w="115.0" w:type="dxa"/>
            </w:tcMar>
          </w:tcPr>
          <w:p w:rsidR="00000000" w:rsidDel="00000000" w:rsidP="00000000" w:rsidRDefault="00000000" w:rsidRPr="00000000" w14:paraId="0000004F">
            <w:pPr>
              <w:rPr/>
            </w:pPr>
            <w:r w:rsidDel="00000000" w:rsidR="00000000" w:rsidRPr="00000000">
              <w:rPr>
                <w:rtl w:val="0"/>
              </w:rPr>
              <w:t xml:space="preserve">Points Earned</w:t>
            </w:r>
          </w:p>
          <w:p w:rsidR="00000000" w:rsidDel="00000000" w:rsidP="00000000" w:rsidRDefault="00000000" w:rsidRPr="00000000" w14:paraId="00000050">
            <w:pPr>
              <w:rPr/>
            </w:pPr>
            <w:r w:rsidDel="00000000" w:rsidR="00000000" w:rsidRPr="00000000">
              <w:rPr>
                <w:rtl w:val="0"/>
              </w:rPr>
              <w:t xml:space="preserve">2/2</w:t>
            </w:r>
          </w:p>
        </w:tc>
      </w:tr>
      <w:tr>
        <w:tc>
          <w:tcPr>
            <w:shd w:fill="ffffff" w:val="clear"/>
            <w:tcMar>
              <w:top w:w="58.0" w:type="dxa"/>
              <w:left w:w="115.0" w:type="dxa"/>
              <w:bottom w:w="58.0" w:type="dxa"/>
              <w:right w:w="115.0" w:type="dxa"/>
            </w:tcMar>
          </w:tcPr>
          <w:p w:rsidR="00000000" w:rsidDel="00000000" w:rsidP="00000000" w:rsidRDefault="00000000" w:rsidRPr="00000000" w14:paraId="00000051">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paper is 1,400 to 1,750 words in length.</w:t>
            </w:r>
          </w:p>
          <w:p w:rsidR="00000000" w:rsidDel="00000000" w:rsidP="00000000" w:rsidRDefault="00000000" w:rsidRPr="00000000" w14:paraId="00000052">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paper is clear and organized; major points are supported by details, examples, or analysis.</w:t>
            </w:r>
          </w:p>
          <w:p w:rsidR="00000000" w:rsidDel="00000000" w:rsidP="00000000" w:rsidRDefault="00000000" w:rsidRPr="00000000" w14:paraId="00000053">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tone aligns with the assignment’s purpose and is geared toward the appropriate audience.</w:t>
            </w:r>
          </w:p>
          <w:p w:rsidR="00000000" w:rsidDel="00000000" w:rsidP="00000000" w:rsidRDefault="00000000" w:rsidRPr="00000000" w14:paraId="00000054">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paper provides relevant and sufficient background on the topic.</w:t>
            </w:r>
          </w:p>
          <w:p w:rsidR="00000000" w:rsidDel="00000000" w:rsidP="00000000" w:rsidRDefault="00000000" w:rsidRPr="00000000" w14:paraId="00000055">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paper is logical, flows, and reviews the major points.</w:t>
            </w:r>
          </w:p>
        </w:tc>
        <w:tc>
          <w:tcPr>
            <w:shd w:fill="ffffff" w:val="clear"/>
            <w:tcMar>
              <w:top w:w="58.0" w:type="dxa"/>
              <w:left w:w="115.0" w:type="dxa"/>
              <w:bottom w:w="58.0" w:type="dxa"/>
              <w:right w:w="115.0" w:type="dxa"/>
            </w:tcMar>
          </w:tcPr>
          <w:p w:rsidR="00000000" w:rsidDel="00000000" w:rsidP="00000000" w:rsidRDefault="00000000" w:rsidRPr="00000000" w14:paraId="00000056">
            <w:pPr>
              <w:rPr/>
            </w:pPr>
            <w:r w:rsidDel="00000000" w:rsidR="00000000" w:rsidRPr="00000000">
              <w:rPr>
                <w:rtl w:val="0"/>
              </w:rPr>
              <w:t xml:space="preserve">Comments: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Excellent organization with APA 6</w:t>
            </w:r>
            <w:r w:rsidDel="00000000" w:rsidR="00000000" w:rsidRPr="00000000">
              <w:rPr>
                <w:vertAlign w:val="superscript"/>
                <w:rtl w:val="0"/>
              </w:rPr>
              <w:t xml:space="preserve">th</w:t>
            </w:r>
            <w:r w:rsidDel="00000000" w:rsidR="00000000" w:rsidRPr="00000000">
              <w:rPr>
                <w:rtl w:val="0"/>
              </w:rPr>
              <w:t xml:space="preserve"> Edition formatted  section headings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tc>
      </w:tr>
      <w:tr>
        <w:tc>
          <w:tcPr>
            <w:shd w:fill="bfbfbf" w:val="clear"/>
            <w:tcMar>
              <w:top w:w="58.0" w:type="dxa"/>
              <w:left w:w="115.0" w:type="dxa"/>
              <w:bottom w:w="58.0" w:type="dxa"/>
              <w:right w:w="115.0" w:type="dxa"/>
            </w:tcMar>
          </w:tcPr>
          <w:p w:rsidR="00000000" w:rsidDel="00000000" w:rsidP="00000000" w:rsidRDefault="00000000" w:rsidRPr="00000000" w14:paraId="0000005B">
            <w:pPr>
              <w:rPr/>
            </w:pPr>
            <w:r w:rsidDel="00000000" w:rsidR="00000000" w:rsidRPr="00000000">
              <w:rPr>
                <w:rtl w:val="0"/>
              </w:rPr>
              <w:t xml:space="preserve">Mechanics and Format</w:t>
            </w:r>
          </w:p>
          <w:p w:rsidR="00000000" w:rsidDel="00000000" w:rsidP="00000000" w:rsidRDefault="00000000" w:rsidRPr="00000000" w14:paraId="0000005C">
            <w:pPr>
              <w:rPr/>
            </w:pPr>
            <w:r w:rsidDel="00000000" w:rsidR="00000000" w:rsidRPr="00000000">
              <w:rPr>
                <w:rtl w:val="0"/>
              </w:rPr>
              <w:t xml:space="preserve">20 Percent</w:t>
            </w:r>
          </w:p>
        </w:tc>
        <w:tc>
          <w:tcPr>
            <w:shd w:fill="bfbfbf" w:val="clear"/>
            <w:tcMar>
              <w:top w:w="58.0" w:type="dxa"/>
              <w:left w:w="115.0" w:type="dxa"/>
              <w:bottom w:w="58.0" w:type="dxa"/>
              <w:right w:w="115.0" w:type="dxa"/>
            </w:tcMar>
          </w:tcPr>
          <w:p w:rsidR="00000000" w:rsidDel="00000000" w:rsidP="00000000" w:rsidRDefault="00000000" w:rsidRPr="00000000" w14:paraId="0000005D">
            <w:pPr>
              <w:rPr/>
            </w:pPr>
            <w:r w:rsidDel="00000000" w:rsidR="00000000" w:rsidRPr="00000000">
              <w:rPr>
                <w:rtl w:val="0"/>
              </w:rPr>
              <w:t xml:space="preserve">Points Earned</w:t>
            </w:r>
          </w:p>
          <w:p w:rsidR="00000000" w:rsidDel="00000000" w:rsidP="00000000" w:rsidRDefault="00000000" w:rsidRPr="00000000" w14:paraId="0000005E">
            <w:pPr>
              <w:rPr/>
            </w:pPr>
            <w:r w:rsidDel="00000000" w:rsidR="00000000" w:rsidRPr="00000000">
              <w:rPr>
                <w:rtl w:val="0"/>
              </w:rPr>
              <w:t xml:space="preserve">1/2</w:t>
            </w:r>
          </w:p>
        </w:tc>
      </w:tr>
      <w:tr>
        <w:tc>
          <w:tcPr>
            <w:shd w:fill="ffffff" w:val="clear"/>
            <w:tcMar>
              <w:top w:w="58.0" w:type="dxa"/>
              <w:left w:w="115.0" w:type="dxa"/>
              <w:bottom w:w="58.0" w:type="dxa"/>
              <w:right w:w="115.0" w:type="dxa"/>
            </w:tcMar>
          </w:tcPr>
          <w:p w:rsidR="00000000" w:rsidDel="00000000" w:rsidP="00000000" w:rsidRDefault="00000000" w:rsidRPr="00000000" w14:paraId="0000005F">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assignment file is presentable and functional.</w:t>
            </w:r>
          </w:p>
          <w:p w:rsidR="00000000" w:rsidDel="00000000" w:rsidP="00000000" w:rsidRDefault="00000000" w:rsidRPr="00000000" w14:paraId="00000060">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Rules of grammar, usage, and punctuation are followed; spelling is correct.</w:t>
            </w:r>
          </w:p>
          <w:p w:rsidR="00000000" w:rsidDel="00000000" w:rsidP="00000000" w:rsidRDefault="00000000" w:rsidRPr="00000000" w14:paraId="00000061">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paper—including the title page, reference page, tables, and any appendices—is consistent with APA guidelines.</w:t>
            </w:r>
          </w:p>
        </w:tc>
        <w:tc>
          <w:tcPr>
            <w:shd w:fill="ffffff" w:val="clear"/>
            <w:tcMar>
              <w:top w:w="58.0" w:type="dxa"/>
              <w:left w:w="115.0" w:type="dxa"/>
              <w:bottom w:w="58.0" w:type="dxa"/>
              <w:right w:w="115.0" w:type="dxa"/>
            </w:tcMar>
          </w:tcPr>
          <w:p w:rsidR="00000000" w:rsidDel="00000000" w:rsidP="00000000" w:rsidRDefault="00000000" w:rsidRPr="00000000" w14:paraId="00000062">
            <w:pPr>
              <w:rPr/>
            </w:pPr>
            <w:r w:rsidDel="00000000" w:rsidR="00000000" w:rsidRPr="00000000">
              <w:rPr>
                <w:rtl w:val="0"/>
              </w:rPr>
              <w:t xml:space="preserve">Comments:</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Generally well written</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See my comments above on your formatting errors.</w:t>
            </w:r>
          </w:p>
        </w:tc>
      </w:tr>
      <w:tr>
        <w:tc>
          <w:tcPr>
            <w:shd w:fill="bfbfbf" w:val="clear"/>
            <w:tcMar>
              <w:top w:w="58.0" w:type="dxa"/>
              <w:left w:w="115.0" w:type="dxa"/>
              <w:bottom w:w="58.0" w:type="dxa"/>
              <w:right w:w="115.0" w:type="dxa"/>
            </w:tcMar>
          </w:tcPr>
          <w:p w:rsidR="00000000" w:rsidDel="00000000" w:rsidP="00000000" w:rsidRDefault="00000000" w:rsidRPr="00000000" w14:paraId="00000067">
            <w:pPr>
              <w:rPr/>
            </w:pPr>
            <w:r w:rsidDel="00000000" w:rsidR="00000000" w:rsidRPr="00000000">
              <w:rPr>
                <w:rtl w:val="0"/>
              </w:rPr>
              <w:t xml:space="preserve">Additional Comments:</w:t>
            </w:r>
          </w:p>
          <w:p w:rsidR="00000000" w:rsidDel="00000000" w:rsidP="00000000" w:rsidRDefault="00000000" w:rsidRPr="00000000" w14:paraId="00000068">
            <w:pPr>
              <w:rPr/>
            </w:pPr>
            <w:r w:rsidDel="00000000" w:rsidR="00000000" w:rsidRPr="00000000">
              <w:rPr>
                <w:rtl w:val="0"/>
              </w:rPr>
            </w:r>
          </w:p>
        </w:tc>
        <w:tc>
          <w:tcPr>
            <w:shd w:fill="bfbfbf" w:val="clear"/>
            <w:tcMar>
              <w:top w:w="58.0" w:type="dxa"/>
              <w:left w:w="115.0" w:type="dxa"/>
              <w:bottom w:w="58.0" w:type="dxa"/>
              <w:right w:w="115.0" w:type="dxa"/>
            </w:tcMar>
          </w:tcPr>
          <w:p w:rsidR="00000000" w:rsidDel="00000000" w:rsidP="00000000" w:rsidRDefault="00000000" w:rsidRPr="00000000" w14:paraId="00000069">
            <w:pPr>
              <w:rPr/>
            </w:pPr>
            <w:r w:rsidDel="00000000" w:rsidR="00000000" w:rsidRPr="00000000">
              <w:rPr>
                <w:rtl w:val="0"/>
              </w:rPr>
              <w:t xml:space="preserve">Total Earned </w:t>
            </w:r>
          </w:p>
          <w:p w:rsidR="00000000" w:rsidDel="00000000" w:rsidP="00000000" w:rsidRDefault="00000000" w:rsidRPr="00000000" w14:paraId="0000006A">
            <w:pPr>
              <w:rPr/>
            </w:pPr>
            <w:bookmarkStart w:colFirst="0" w:colLast="0" w:name="_1fob9te" w:id="2"/>
            <w:bookmarkEnd w:id="2"/>
            <w:r w:rsidDel="00000000" w:rsidR="00000000" w:rsidRPr="00000000">
              <w:rPr>
                <w:rtl w:val="0"/>
              </w:rPr>
              <w:t xml:space="preserve">8/12</w:t>
            </w:r>
          </w:p>
        </w:tc>
      </w:tr>
    </w:tbl>
    <w:p w:rsidR="00000000" w:rsidDel="00000000" w:rsidP="00000000" w:rsidRDefault="00000000" w:rsidRPr="00000000" w14:paraId="0000006B">
      <w:pPr>
        <w:spacing w:line="480" w:lineRule="auto"/>
        <w:ind w:left="720" w:hanging="720"/>
        <w:rPr>
          <w:rFonts w:ascii="Times New Roman" w:cs="Times New Roman" w:eastAsia="Times New Roman" w:hAnsi="Times New Roman"/>
          <w:sz w:val="24"/>
          <w:szCs w:val="24"/>
        </w:rPr>
      </w:pPr>
      <w:r w:rsidDel="00000000" w:rsidR="00000000" w:rsidRPr="00000000">
        <w:rPr>
          <w:rtl w:val="0"/>
        </w:rPr>
      </w:r>
    </w:p>
    <w:sectPr>
      <w:headerReference r:id="rId7" w:type="default"/>
      <w:headerReference r:id="rId8" w:type="first"/>
      <w:pgSz w:h="15840" w:w="12240"/>
      <w:pgMar w:bottom="1440" w:top="1440" w:left="1440" w:right="1440" w:header="720" w:footer="720"/>
      <w:pgNumType w:start="0"/>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Debbie Jennings" w:id="0" w:date="2019-08-16T18:40:00Z">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too old to use.</w:t>
      </w:r>
    </w:p>
  </w:comment>
  <w:comment w:author="Debbie Jennings" w:id="3" w:date="2019-08-16T18:46:00Z">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Each of these are incorrectly formatted</w:t>
      </w:r>
    </w:p>
  </w:comment>
  <w:comment w:author="Debbie Jennings" w:id="5" w:date="2019-08-16T18:47:00Z">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too old</w:t>
      </w:r>
    </w:p>
  </w:comment>
  <w:comment w:author="Debbie Jennings" w:id="4" w:date="2019-08-16T18:48:00Z">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technically too old to use.</w:t>
      </w:r>
    </w:p>
  </w:comment>
  <w:comment w:author="Debbie Jennings" w:id="1" w:date="2019-08-16T18:44:00Z">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section also requires a discussion of the specific sample, and  procedures you intend to implement</w:t>
      </w:r>
    </w:p>
  </w:comment>
  <w:comment w:author="Debbie Jennings" w:id="2" w:date="2019-08-16T18:45:00Z">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section requires a discussion of the standards  affecting research from the Code of Ethics</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center" w:pos="4680"/>
        <w:tab w:val="right" w:pos="936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center" w:pos="4680"/>
        <w:tab w:val="right" w:pos="936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ABORTION </w:t>
      <w:tab/>
      <w:tab/>
    </w:r>
    <w:r w:rsidDel="00000000" w:rsidR="00000000" w:rsidRPr="00000000">
      <w:rPr>
        <w:rFonts w:ascii="Times New Roman" w:cs="Times New Roman" w:eastAsia="Times New Roman" w:hAnsi="Times New Roman"/>
        <w:color w:val="000000"/>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86.0" w:type="dxa"/>
        <w:left w:w="115.0" w:type="dxa"/>
        <w:bottom w:w="86.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