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85337"/>
    <w:p w:rsidR="001D3229"/>
    <w:p w:rsidR="001D3229"/>
    <w:p w:rsidR="001D3229"/>
    <w:p w:rsidR="001D3229"/>
    <w:p w:rsidR="001D3229"/>
    <w:p w:rsidR="001D3229"/>
    <w:p w:rsidR="001D3229"/>
    <w:p w:rsidR="001D3229"/>
    <w:p w:rsidR="001D3229"/>
    <w:p w:rsidR="001D3229"/>
    <w:p w:rsidR="001D3229"/>
    <w:p w:rsidR="001D3229" w:rsidRPr="00D81944">
      <w:r w:rsidRPr="00D81944">
        <w:t xml:space="preserve">Evidence </w:t>
      </w:r>
      <w:r>
        <w:t>for the Chiefdom Level Societies i</w:t>
      </w:r>
      <w:r w:rsidRPr="00D81944">
        <w:t xml:space="preserve">n Bronze Age Europe </w:t>
      </w:r>
    </w:p>
    <w:p w:rsidR="00D81944">
      <w:r>
        <w:t xml:space="preserve">Students name: </w:t>
      </w:r>
    </w:p>
    <w:p w:rsidR="00D81944">
      <w:r>
        <w:t>Professor’s name:</w:t>
      </w:r>
    </w:p>
    <w:p w:rsidR="00D81944">
      <w:r>
        <w:t>Institution of affiliation:</w:t>
      </w:r>
    </w:p>
    <w:p w:rsidR="00D81944">
      <w:r>
        <w:t xml:space="preserve">Course: </w:t>
      </w:r>
    </w:p>
    <w:p w:rsidR="00D81944">
      <w:r>
        <w:t xml:space="preserve">Date: </w:t>
      </w:r>
    </w:p>
    <w:p w:rsidR="00D81944">
      <w:r>
        <w:br w:type="page"/>
      </w:r>
    </w:p>
    <w:p w:rsidR="00D81944" w:rsidP="001E0D39">
      <w:pPr>
        <w:ind w:firstLine="720"/>
        <w:jc w:val="left"/>
      </w:pPr>
      <w:r>
        <w:t>The chiefdom refers to the specific form of the h</w:t>
      </w:r>
      <w:r w:rsidR="00CF244E">
        <w:t xml:space="preserve">ierarchical political organization in the </w:t>
      </w:r>
      <w:r w:rsidR="007A5F97">
        <w:t>non-industrial</w:t>
      </w:r>
      <w:r w:rsidR="00CF244E">
        <w:t xml:space="preserve"> society that is often defined by the kinship as the leadership position. The formal type of leadership structure is monopolized by legitimate senior </w:t>
      </w:r>
      <w:r w:rsidR="007A5F97">
        <w:t xml:space="preserve">members selected from a specific family or house. The chosen people or families are considered the elite and often form a type of aristocracy relative to the general population. </w:t>
      </w:r>
      <w:r w:rsidR="00FD72B1">
        <w:t xml:space="preserve">The era of the chiefdom is known to have started way back following the transition of acephalous bands </w:t>
      </w:r>
      <w:r w:rsidR="00CF36C0">
        <w:t xml:space="preserve">and tribes </w:t>
      </w:r>
      <w:r w:rsidR="003E6ECA">
        <w:t>that began at the end of the ice ag</w:t>
      </w:r>
      <w:r w:rsidR="00572BB8">
        <w:t>e between 8000-10,000 years ago (</w:t>
      </w:r>
      <w:r w:rsidR="00572BB8">
        <w:rPr>
          <w:shd w:val="clear" w:color="auto" w:fill="FFFFFF"/>
        </w:rPr>
        <w:t>Ca</w:t>
      </w:r>
      <w:r w:rsidR="00572BB8">
        <w:rPr>
          <w:shd w:val="clear" w:color="auto" w:fill="FFFFFF"/>
        </w:rPr>
        <w:t>rneiro</w:t>
      </w:r>
      <w:r w:rsidR="00572BB8">
        <w:rPr>
          <w:shd w:val="clear" w:color="auto" w:fill="FFFFFF"/>
        </w:rPr>
        <w:t xml:space="preserve">, &amp; </w:t>
      </w:r>
      <w:r w:rsidR="00572BB8">
        <w:rPr>
          <w:shd w:val="clear" w:color="auto" w:fill="FFFFFF"/>
        </w:rPr>
        <w:t>Grinin</w:t>
      </w:r>
      <w:r w:rsidR="00572BB8">
        <w:rPr>
          <w:shd w:val="clear" w:color="auto" w:fill="FFFFFF"/>
        </w:rPr>
        <w:t xml:space="preserve">, </w:t>
      </w:r>
      <w:r w:rsidR="00572BB8">
        <w:rPr>
          <w:shd w:val="clear" w:color="auto" w:fill="FFFFFF"/>
        </w:rPr>
        <w:t xml:space="preserve">2017). </w:t>
      </w:r>
      <w:r w:rsidR="003E6ECA">
        <w:t xml:space="preserve"> </w:t>
      </w:r>
      <w:r w:rsidR="007A5F97">
        <w:t>According to anthropology, the chiefdom was established on a specific notion based on the socio-political organization from which the political and economic power is exercised by a single individual or group of people across the different communities. The tribal chief often holds the chiefdom as the hea</w:t>
      </w:r>
      <w:r w:rsidR="003E6ECA">
        <w:t>d. The various chiefdom was essential to the society as they handled multiple issues and acted as the source of wealth in the communities. They often formed the basis of wealth accrued in the institution and general organization with specific attributes representing the prestige of the community and authority between the different groups of the people. The chiefs and their associates were known to be very wealthy members of the socie</w:t>
      </w:r>
      <w:r w:rsidR="00B1490F">
        <w:t>ty</w:t>
      </w:r>
      <w:r w:rsidR="003E6ECA">
        <w:t xml:space="preserve"> and ranked as having the majority o</w:t>
      </w:r>
      <w:r w:rsidR="00572BB8">
        <w:t>f food and material possession (</w:t>
      </w:r>
      <w:r w:rsidR="00572BB8">
        <w:rPr>
          <w:shd w:val="clear" w:color="auto" w:fill="FFFFFF"/>
        </w:rPr>
        <w:t>Singh et al., 2017).</w:t>
      </w:r>
    </w:p>
    <w:p w:rsidR="001E0D39" w:rsidP="001E0D39">
      <w:pPr>
        <w:ind w:firstLine="720"/>
        <w:jc w:val="left"/>
      </w:pPr>
      <w:r>
        <w:t>The various chiefdoms had unique characteristics based on the permanent and institutionalized forms of the political leadership headed by the chief. The decision concerning the society wa</w:t>
      </w:r>
      <w:r w:rsidR="00E00A76">
        <w:t>s centrally</w:t>
      </w:r>
      <w:r>
        <w:t xml:space="preserve"> made; each of the chiefdoms has economic independence with a unique social hierarchy. </w:t>
      </w:r>
      <w:r w:rsidR="00E00A76">
        <w:t>The chiefdom was formed by a political organization with a different social order and consolidation of political power into a specialist that operated all time to ensure equal production and distribution of the resources among the members. The</w:t>
      </w:r>
      <w:r w:rsidR="00F37ED8">
        <w:t xml:space="preserve"> chief heading the community has special skills essential to managing the resources, such as </w:t>
      </w:r>
      <w:r w:rsidR="00F37ED8">
        <w:t xml:space="preserve">persuasive skills and more control according to the distribution of resources necessary to the people and the community to maintain the peace and stability of the community. The chief was considered religious people with the </w:t>
      </w:r>
      <w:r w:rsidR="007116FF">
        <w:t xml:space="preserve">qualities of leadership or holding a leadership position among the community members. They were often responsible for settling disputes accrued among the member of the community, but their way of life or decision was not paramount. The attributes of successful leadership were based on the family member. They formed a </w:t>
      </w:r>
      <w:r w:rsidR="007116FF">
        <w:t>hier</w:t>
      </w:r>
      <w:r w:rsidR="00FB58A4">
        <w:t>archical</w:t>
      </w:r>
      <w:r w:rsidR="00FB58A4">
        <w:t xml:space="preserve"> society though the leadership position was not guaranteed to each member of the community and the chief often demonstrated their unique ability to lead the people. The completion of the leadership position brought tension among the member, and the attributes of the warfare were mostl</w:t>
      </w:r>
      <w:r w:rsidR="00572BB8">
        <w:t>y experienced among the people (</w:t>
      </w:r>
      <w:r w:rsidR="00572BB8">
        <w:rPr>
          <w:shd w:val="clear" w:color="auto" w:fill="FFFFFF"/>
        </w:rPr>
        <w:t>Acemoglu</w:t>
      </w:r>
      <w:r w:rsidR="00572BB8">
        <w:rPr>
          <w:shd w:val="clear" w:color="auto" w:fill="FFFFFF"/>
        </w:rPr>
        <w:t xml:space="preserve">, Reed, &amp; Robinson, </w:t>
      </w:r>
      <w:r w:rsidR="00572BB8">
        <w:rPr>
          <w:shd w:val="clear" w:color="auto" w:fill="FFFFFF"/>
        </w:rPr>
        <w:t>2013). </w:t>
      </w:r>
    </w:p>
    <w:p w:rsidR="00985496" w:rsidP="001E0D39">
      <w:pPr>
        <w:ind w:firstLine="720"/>
        <w:jc w:val="left"/>
      </w:pPr>
      <w:r>
        <w:t xml:space="preserve">The chiefdoms that were identified anthropologically depended on horticulture and intensive agriculture among the people, except the </w:t>
      </w:r>
      <w:r>
        <w:t>pacific northwest</w:t>
      </w:r>
      <w:r>
        <w:t>. The chiefdoms were formed based on foraging since the environment was possible to provide surplus entities in the communities. The surplus food allowed the chief to accumulate enough food and provide the means of distribution across the s</w:t>
      </w:r>
      <w:r>
        <w:t xml:space="preserve">ociety and maintain their leadership position through the accumulated power. The members with each chiefdom were expected to give some of their harvests to the leaders as a form of taxes that would later be distributed to the people under different circumstances and conditions. The chief's prestige relied on the number of goods received by the chief and the </w:t>
      </w:r>
      <w:r w:rsidR="00572BB8">
        <w:t>additional amount remitted by the chief (</w:t>
      </w:r>
      <w:r w:rsidR="00572BB8">
        <w:rPr>
          <w:shd w:val="clear" w:color="auto" w:fill="FFFFFF"/>
        </w:rPr>
        <w:t xml:space="preserve">Sutton &amp; Anderson, </w:t>
      </w:r>
      <w:r w:rsidR="00572BB8">
        <w:rPr>
          <w:shd w:val="clear" w:color="auto" w:fill="FFFFFF"/>
        </w:rPr>
        <w:t>2020). </w:t>
      </w:r>
    </w:p>
    <w:p w:rsidR="00D90421" w:rsidP="001E0D39">
      <w:pPr>
        <w:ind w:firstLine="720"/>
        <w:jc w:val="left"/>
      </w:pPr>
      <w:r>
        <w:t xml:space="preserve"> The membership characteristic in each chiefdom was based on the kin, though certain groups were often more significant than the </w:t>
      </w:r>
      <w:r w:rsidR="005B166E">
        <w:t xml:space="preserve">tribes. The chiefdom often incorporated different entities in the community into one for easy management and distribution of resources such as the villages and small cities to form a single political unit. </w:t>
      </w:r>
      <w:r w:rsidR="008A7FAA">
        <w:t xml:space="preserve">The aspect of specialization was also </w:t>
      </w:r>
      <w:r w:rsidR="008A7FAA">
        <w:t xml:space="preserve">essential in the chiefdoms. The community depended on different people to perform unique functions and production of products; hence, the people started having a sense of belonging, leading to the establishment of the kin groups having a specific identity on the occupation.  The multiple examples of the chiefdoms included the </w:t>
      </w:r>
      <w:r w:rsidR="00435299">
        <w:t>Tongan and Trobriand islanders across the pacific and the Maori of New Zealand, among othe</w:t>
      </w:r>
      <w:r w:rsidR="00572BB8">
        <w:t>rs such as the Olmec of Mexico (</w:t>
      </w:r>
      <w:r w:rsidR="00572BB8">
        <w:rPr>
          <w:shd w:val="clear" w:color="auto" w:fill="FFFFFF"/>
        </w:rPr>
        <w:t xml:space="preserve">Rogers, </w:t>
      </w:r>
      <w:r w:rsidR="00572BB8">
        <w:rPr>
          <w:shd w:val="clear" w:color="auto" w:fill="FFFFFF"/>
        </w:rPr>
        <w:t>2012).</w:t>
      </w:r>
    </w:p>
    <w:p w:rsidR="00D053E4" w:rsidP="001E0D39">
      <w:pPr>
        <w:ind w:firstLine="720"/>
        <w:jc w:val="left"/>
      </w:pPr>
      <w:r>
        <w:t xml:space="preserve">The corded ware culture is one of the oldest cultures having an origin from the westward migration of Yamnaya-related people from the steppe-forest zone into the territory of late Neolithic European cultures, which included the globular amphora, the </w:t>
      </w:r>
      <w:r w:rsidR="00572BB8">
        <w:t>funnel beaker</w:t>
      </w:r>
      <w:r>
        <w:t xml:space="preserve"> culture.</w:t>
      </w:r>
      <w:r w:rsidR="0010527A">
        <w:t xml:space="preserve"> The name was derived from the cord compression on the surface of the vessels discovered by archaeological sites across central Africa. </w:t>
      </w:r>
      <w:r>
        <w:t xml:space="preserve"> It was one of the essential attributes of the </w:t>
      </w:r>
      <w:r w:rsidR="001F4B50">
        <w:t>late Neolithic and early Bronze Age with similar unique characteristics such as the burial rituals. They often preferred using single gra</w:t>
      </w:r>
      <w:r w:rsidR="00866E17">
        <w:t xml:space="preserve">ves in the form of </w:t>
      </w:r>
      <w:r w:rsidR="001F4B50">
        <w:t xml:space="preserve">pits </w:t>
      </w:r>
      <w:r w:rsidR="00866E17">
        <w:t xml:space="preserve">with or without barrow. The deceased was placed facing south and on different sides based on gender. They were often placed in a contracted position with the men on their left and the woman. The differentiation based on the sexual pattern </w:t>
      </w:r>
      <w:r w:rsidR="00E40852">
        <w:t>was maintained</w:t>
      </w:r>
      <w:r w:rsidR="00757F9B">
        <w:t xml:space="preserve"> in the early </w:t>
      </w:r>
      <w:r w:rsidR="0010527A">
        <w:t>Bronze Age</w:t>
      </w:r>
      <w:r w:rsidR="00757F9B">
        <w:t xml:space="preserve"> and later changed the position towards the stretching position rather than contracted. The aspects of sex and age did not play a role </w:t>
      </w:r>
      <w:r w:rsidR="00A86BEA">
        <w:t>in the body's positioning (</w:t>
      </w:r>
      <w:r w:rsidR="00A86BEA">
        <w:rPr>
          <w:shd w:val="clear" w:color="auto" w:fill="FFFFFF"/>
        </w:rPr>
        <w:t>Shea</w:t>
      </w:r>
      <w:r w:rsidR="00A86BEA">
        <w:rPr>
          <w:shd w:val="clear" w:color="auto" w:fill="FFFFFF"/>
        </w:rPr>
        <w:t xml:space="preserve">, </w:t>
      </w:r>
      <w:r w:rsidR="00A86BEA">
        <w:rPr>
          <w:shd w:val="clear" w:color="auto" w:fill="FFFFFF"/>
        </w:rPr>
        <w:t>2020). </w:t>
      </w:r>
    </w:p>
    <w:p w:rsidR="0010527A" w:rsidP="001E0D39">
      <w:pPr>
        <w:ind w:firstLine="720"/>
        <w:jc w:val="left"/>
      </w:pPr>
      <w:r>
        <w:t xml:space="preserve">The bronze period marked a change in the social and economic attributes of the people since the details were based on the </w:t>
      </w:r>
      <w:r w:rsidR="007753EC">
        <w:t>Scandinavia</w:t>
      </w:r>
      <w:r>
        <w:t xml:space="preserve"> attribute to define the period preceding the Bronze </w:t>
      </w:r>
      <w:r w:rsidR="007753EC">
        <w:t>Age</w:t>
      </w:r>
      <w:r>
        <w:t xml:space="preserve"> with a flint technology</w:t>
      </w:r>
      <w:r w:rsidR="002775C1">
        <w:t xml:space="preserve"> and new materials. The Nordic bronze culture provided the analysis to </w:t>
      </w:r>
      <w:r w:rsidR="00043600">
        <w:t xml:space="preserve">the current instrumentation. The Neolithic stone age of continental Europe </w:t>
      </w:r>
      <w:r w:rsidR="00AE3F87">
        <w:t xml:space="preserve">provided the various demographic attributes experience by several archeogenomic studies. The bronze period offers an insight into the geographical concept and </w:t>
      </w:r>
      <w:r w:rsidR="00AE3F87">
        <w:t>cultural complexity based on the burial</w:t>
      </w:r>
      <w:r w:rsidR="00830307">
        <w:t xml:space="preserve"> customs and cultural expression of materials. The variation identification of this group demonstrated the importance of the mobility and migration process of the various population turnover and transition towards an effective change of life. </w:t>
      </w:r>
      <w:r w:rsidR="00AE3F87">
        <w:t xml:space="preserve"> </w:t>
      </w:r>
      <w:r w:rsidR="007753EC">
        <w:t xml:space="preserve">The different time groups were classified with different patterns, such as farming and pastoralist groups and hunters and gatherers. The corded ware complex often exhibited a unique set of skills within the communities, such as the </w:t>
      </w:r>
      <w:r w:rsidR="00E40852">
        <w:t>steppe ancestry contemporaneous individuals analyzed from the sp</w:t>
      </w:r>
      <w:r w:rsidR="00A86BEA">
        <w:t>ecific regions across the globe (</w:t>
      </w:r>
      <w:r w:rsidR="00A86BEA">
        <w:rPr>
          <w:shd w:val="clear" w:color="auto" w:fill="FFFFFF"/>
        </w:rPr>
        <w:t>Iversen</w:t>
      </w:r>
      <w:r w:rsidR="00A86BEA">
        <w:rPr>
          <w:shd w:val="clear" w:color="auto" w:fill="FFFFFF"/>
        </w:rPr>
        <w:t xml:space="preserve">, </w:t>
      </w:r>
      <w:r w:rsidR="00A86BEA">
        <w:rPr>
          <w:shd w:val="clear" w:color="auto" w:fill="FFFFFF"/>
        </w:rPr>
        <w:t>2017).</w:t>
      </w:r>
    </w:p>
    <w:p w:rsidR="00D76203" w:rsidP="001E0D39">
      <w:pPr>
        <w:ind w:firstLine="720"/>
        <w:jc w:val="left"/>
      </w:pPr>
      <w:r>
        <w:t xml:space="preserve">The cord impressions were discovered on the surface of the vessels. The various researchers later noted that the cord ornamentation did connect to the corded were culture and other cultures such as the Funnel </w:t>
      </w:r>
      <w:r>
        <w:t>beaker</w:t>
      </w:r>
      <w:r>
        <w:t xml:space="preserve"> culture, the globular amphora culture, and the steppe culture, among others. </w:t>
      </w:r>
      <w:r w:rsidR="00666313">
        <w:t xml:space="preserve">The tools associated with the corded ware include the stone axes, beakers, arrowheads, and flint fakes, among others. The items were more often recovered around the single burial tombs covered by a barrow. The period of the corded ware culture happened alongside the periods of the funnel beaker culture at the areas </w:t>
      </w:r>
      <w:r w:rsidR="00666313">
        <w:t>between</w:t>
      </w:r>
      <w:r w:rsidR="00666313">
        <w:t xml:space="preserve"> central </w:t>
      </w:r>
      <w:r w:rsidR="00666313">
        <w:t>Germany</w:t>
      </w:r>
      <w:r w:rsidR="00666313">
        <w:t xml:space="preserve"> and the Russian lowland. </w:t>
      </w:r>
    </w:p>
    <w:p w:rsidR="00757F9B" w:rsidP="001E0D39">
      <w:pPr>
        <w:ind w:firstLine="720"/>
        <w:jc w:val="left"/>
      </w:pPr>
      <w:r>
        <w:t xml:space="preserve">The bell beaker culture is one of the essential cultures within the European bronze age that invented the bell beaker drinking vessel used at the onset of this period. The bell beaker culture has been given the primary role in the organization based on the widespread of its goods and the associated value in each piece discovered. </w:t>
      </w:r>
      <w:r w:rsidR="00603FFE">
        <w:t xml:space="preserve">In other located locations, the appearance of the beakers is a stratigraphic discontinuity with the occupants who initially inhabited those regions, making a lot of the archaeologists consider the arrival of the beakers in the area are about the social reality of the people in the community. An image of the integration in the continuity has been suggested to expand to the neighboring regions and often affecting the general population. </w:t>
      </w:r>
      <w:r w:rsidR="00C97614">
        <w:t xml:space="preserve">The intensity and distribution of the beaker </w:t>
      </w:r>
      <w:r w:rsidR="00C97614">
        <w:t xml:space="preserve">phenomena are related and conditioned by pre-existent regional diversity. On the attributes of the </w:t>
      </w:r>
      <w:r w:rsidR="00C97614">
        <w:t>use-wear</w:t>
      </w:r>
      <w:r w:rsidR="00C97614">
        <w:t xml:space="preserve"> studies, the axes were majorly used as the working tools while the weapons such as the daggers and halberds showed lit</w:t>
      </w:r>
      <w:r w:rsidR="00A86BEA">
        <w:t>tle or no evident signs of use (</w:t>
      </w:r>
      <w:r w:rsidR="00A86BEA">
        <w:rPr>
          <w:shd w:val="clear" w:color="auto" w:fill="FFFFFF"/>
        </w:rPr>
        <w:t xml:space="preserve">Alba </w:t>
      </w:r>
      <w:r w:rsidR="00A86BEA">
        <w:rPr>
          <w:shd w:val="clear" w:color="auto" w:fill="FFFFFF"/>
        </w:rPr>
        <w:t>Luzón</w:t>
      </w:r>
      <w:r w:rsidR="00A86BEA">
        <w:rPr>
          <w:shd w:val="clear" w:color="auto" w:fill="FFFFFF"/>
        </w:rPr>
        <w:t xml:space="preserve">, &amp; </w:t>
      </w:r>
      <w:r w:rsidR="00A86BEA">
        <w:rPr>
          <w:shd w:val="clear" w:color="auto" w:fill="FFFFFF"/>
        </w:rPr>
        <w:t>García</w:t>
      </w:r>
      <w:r w:rsidR="00A86BEA">
        <w:rPr>
          <w:shd w:val="clear" w:color="auto" w:fill="FFFFFF"/>
        </w:rPr>
        <w:t xml:space="preserve"> </w:t>
      </w:r>
      <w:r w:rsidR="00A86BEA">
        <w:rPr>
          <w:shd w:val="clear" w:color="auto" w:fill="FFFFFF"/>
        </w:rPr>
        <w:t>Atiénzar</w:t>
      </w:r>
      <w:r w:rsidR="00A86BEA">
        <w:rPr>
          <w:shd w:val="clear" w:color="auto" w:fill="FFFFFF"/>
        </w:rPr>
        <w:t xml:space="preserve">, </w:t>
      </w:r>
      <w:r w:rsidR="00A86BEA">
        <w:rPr>
          <w:shd w:val="clear" w:color="auto" w:fill="FFFFFF"/>
        </w:rPr>
        <w:t>2018).</w:t>
      </w:r>
    </w:p>
    <w:p w:rsidR="003E19F3" w:rsidP="001E0D39">
      <w:pPr>
        <w:ind w:firstLine="720"/>
        <w:jc w:val="left"/>
      </w:pPr>
      <w:r>
        <w:t>Geography forms the basis of the trade theory. The majority of the elements focused on the different attributes, such as the political geography of the trade that often emphasizes the different regions and the formation</w:t>
      </w:r>
      <w:r w:rsidR="00F90CE7">
        <w:t xml:space="preserve"> of the regional trading blocks</w:t>
      </w:r>
      <w:r w:rsidR="00B93D8B">
        <w:t>. The early traders depended on geographic anomalies to conduct trade with people from other parts of the continent. In crossing the lands routes, they often relied on water for their animals and personal consumption. The water from the oasis was essential to facilitate the long movement</w:t>
      </w:r>
      <w:r w:rsidR="00EB4F01">
        <w:t xml:space="preserve"> (</w:t>
      </w:r>
      <w:r w:rsidR="00EB4F01">
        <w:rPr>
          <w:shd w:val="clear" w:color="auto" w:fill="FFFFFF"/>
        </w:rPr>
        <w:t xml:space="preserve">Gaffney </w:t>
      </w:r>
      <w:r w:rsidR="00EB4F01">
        <w:rPr>
          <w:shd w:val="clear" w:color="auto" w:fill="FFFFFF"/>
        </w:rPr>
        <w:t xml:space="preserve">et al., 2012). </w:t>
      </w:r>
      <w:r w:rsidR="00B21675">
        <w:t xml:space="preserve">The geographical features considered more often include the mountains, water, and deserts to reduce the trade across different regions. The ancient trade is more often defined by means trades evaded specific obstacles to provide for their families across the globe. The first migration of the people started in northern Africa due to overcrowding. The communities residing in the area opted for ample space to sustain their daily activities, hunting, and gathering. </w:t>
      </w:r>
      <w:r w:rsidR="00AD647C">
        <w:t xml:space="preserve">Most people migrated to present-day Europe and east to </w:t>
      </w:r>
      <w:r w:rsidR="00AD647C">
        <w:t>Asia</w:t>
      </w:r>
      <w:r w:rsidR="00AD647C">
        <w:t xml:space="preserve"> hence establishing the know trade routes. The trade routes were often considered lengthy paths from one place to another that often involved the transportation of goods and services. The majority of the people also crossed the bridges. The oceans were considered an impediment to the trade based on the fear among the people, lack of extensive and </w:t>
      </w:r>
      <w:r w:rsidR="00DB37C9">
        <w:t>well-built</w:t>
      </w:r>
      <w:r w:rsidR="00AD647C">
        <w:t xml:space="preserve"> vessels to sustain the trade despite a majority of people residing along the oceans. The </w:t>
      </w:r>
      <w:r w:rsidR="00DB37C9">
        <w:t>water bodies</w:t>
      </w:r>
      <w:r w:rsidR="00AD647C">
        <w:t xml:space="preserve"> later became a faster means of conducting the transaction, and the majority of the traders preferred it for its safe</w:t>
      </w:r>
      <w:r w:rsidR="00A86BEA">
        <w:t>ty (</w:t>
      </w:r>
      <w:r w:rsidR="00A86BEA">
        <w:rPr>
          <w:shd w:val="clear" w:color="auto" w:fill="FFFFFF"/>
        </w:rPr>
        <w:t>Sc</w:t>
      </w:r>
      <w:r w:rsidR="00A86BEA">
        <w:rPr>
          <w:shd w:val="clear" w:color="auto" w:fill="FFFFFF"/>
        </w:rPr>
        <w:t xml:space="preserve">ott </w:t>
      </w:r>
      <w:r w:rsidR="008717D4">
        <w:rPr>
          <w:shd w:val="clear" w:color="auto" w:fill="FFFFFF"/>
        </w:rPr>
        <w:t xml:space="preserve">&amp; </w:t>
      </w:r>
      <w:r w:rsidR="008717D4">
        <w:rPr>
          <w:shd w:val="clear" w:color="auto" w:fill="FFFFFF"/>
        </w:rPr>
        <w:t>Storper</w:t>
      </w:r>
      <w:r w:rsidR="008717D4">
        <w:rPr>
          <w:shd w:val="clear" w:color="auto" w:fill="FFFFFF"/>
        </w:rPr>
        <w:t xml:space="preserve">, </w:t>
      </w:r>
      <w:r w:rsidR="00A86BEA">
        <w:rPr>
          <w:shd w:val="clear" w:color="auto" w:fill="FFFFFF"/>
        </w:rPr>
        <w:t xml:space="preserve">2015). </w:t>
      </w:r>
      <w:r w:rsidR="00612ED7">
        <w:t xml:space="preserve"> </w:t>
      </w:r>
    </w:p>
    <w:p w:rsidR="00583CE0" w:rsidP="001E0D39">
      <w:pPr>
        <w:ind w:firstLine="720"/>
        <w:jc w:val="left"/>
      </w:pPr>
      <w:r>
        <w:t xml:space="preserve">The introduction of the trade routes significantly transformed the life of the people by providing the possible means of connecting the regions. It allowed the different cultures to spread technology and improve the knowledge that shaped the current nature of </w:t>
      </w:r>
      <w:r w:rsidR="00B10A3C">
        <w:t>today’s</w:t>
      </w:r>
      <w:r>
        <w:t xml:space="preserve"> economy. </w:t>
      </w:r>
      <w:r w:rsidR="00B10A3C">
        <w:t xml:space="preserve">The various trade routes often </w:t>
      </w:r>
      <w:r w:rsidR="00B10A3C">
        <w:t>criss</w:t>
      </w:r>
      <w:r w:rsidR="00B10A3C">
        <w:t>crossed across the globe c</w:t>
      </w:r>
      <w:r w:rsidR="00EB62A7">
        <w:t>onnecting the different region</w:t>
      </w:r>
      <w:r w:rsidR="00EB62A7">
        <w:t>s. Wessex's</w:t>
      </w:r>
      <w:r w:rsidR="00EB62A7">
        <w:t xml:space="preserve"> trade route was marked with the presence of the </w:t>
      </w:r>
      <w:r w:rsidR="00EB62A7">
        <w:t>anglo-Saxons</w:t>
      </w:r>
      <w:r w:rsidR="00EB62A7">
        <w:t xml:space="preserve"> and during this era was marked by the kingdom conquered by the Vikings. This period provides the various attributes from which we can draw the existence of the different states in England, such as the political structure. The various archaeological features, parts, and topographic information defined the multiple areas. </w:t>
      </w:r>
      <w:r w:rsidR="00724ADD">
        <w:t xml:space="preserve">The routes were highly interconnected to facilitate the movement of people and goods across the trade regions, providing daily alternative windows to the fresh produce. The Wessex ridgeways often formed part of the </w:t>
      </w:r>
      <w:r w:rsidR="000E699F">
        <w:t xml:space="preserve">great ridgeway that was thought to be an essential trade route between the </w:t>
      </w:r>
      <w:r w:rsidR="000E699F">
        <w:t>devon</w:t>
      </w:r>
      <w:r w:rsidR="000E699F">
        <w:t xml:space="preserve"> and Norfolk coast. Its evidence is of existence is visible along the routes such as the camps</w:t>
      </w:r>
      <w:r w:rsidR="008717D4">
        <w:t xml:space="preserve"> (</w:t>
      </w:r>
      <w:r w:rsidR="008717D4">
        <w:rPr>
          <w:shd w:val="clear" w:color="auto" w:fill="FFFFFF"/>
        </w:rPr>
        <w:t xml:space="preserve">Steger, </w:t>
      </w:r>
      <w:r w:rsidR="008717D4">
        <w:rPr>
          <w:shd w:val="clear" w:color="auto" w:fill="FFFFFF"/>
        </w:rPr>
        <w:t>2017). </w:t>
      </w:r>
    </w:p>
    <w:p w:rsidR="00A402FE" w:rsidP="001E0D39">
      <w:pPr>
        <w:ind w:firstLine="720"/>
        <w:jc w:val="left"/>
      </w:pPr>
      <w:r>
        <w:t xml:space="preserve">The raw materials were considered the essential trade item within the different trade routes, such as the control of copper material through the Munster, Wessex- Cornish tin, the Unetice- copper, Denmark –amber. The copper at the </w:t>
      </w:r>
      <w:r w:rsidR="00FE2C40">
        <w:t>Bronze Age</w:t>
      </w:r>
      <w:r>
        <w:t xml:space="preserve"> was often </w:t>
      </w:r>
      <w:r w:rsidR="00FE2C40">
        <w:t xml:space="preserve">mined and smelted before being used to make tools for the trade. The amber in Denmark was historically used as the talisman for courage and self-confidence and more often thought to bring good luck to the warriors. Across the different cultures, it represented the renewal of marriage vows and was more often used by the elders to demonstrate endurance and wisdom across the globe. The notice culture presents the transition from the </w:t>
      </w:r>
      <w:r w:rsidR="00593422">
        <w:t>early cultural tradition to the upcoming Bronze Age</w:t>
      </w:r>
      <w:r w:rsidR="008717D4">
        <w:t xml:space="preserve"> (</w:t>
      </w:r>
      <w:r w:rsidR="008717D4">
        <w:rPr>
          <w:shd w:val="clear" w:color="auto" w:fill="FFFFFF"/>
        </w:rPr>
        <w:t xml:space="preserve">Harding, </w:t>
      </w:r>
      <w:r w:rsidR="008717D4">
        <w:rPr>
          <w:shd w:val="clear" w:color="auto" w:fill="FFFFFF"/>
        </w:rPr>
        <w:t>2011).</w:t>
      </w:r>
    </w:p>
    <w:p w:rsidR="00821014" w:rsidP="001E0D39">
      <w:pPr>
        <w:ind w:firstLine="720"/>
        <w:jc w:val="left"/>
      </w:pPr>
      <w:r>
        <w:t>Based on the characteristic of the chiefdoms, they often depe</w:t>
      </w:r>
      <w:r w:rsidR="005C5E02">
        <w:t xml:space="preserve">nded on the resources to </w:t>
      </w:r>
      <w:r w:rsidR="005C5E02">
        <w:t>make</w:t>
      </w:r>
      <w:r>
        <w:t xml:space="preserve"> them robust and give their leaders a sense of leadership. However, it is critical to note </w:t>
      </w:r>
      <w:r>
        <w:t xml:space="preserve">that the Danish chiefdom was characterized with low power compared to its counterparts with adequate resources and materials for trade. </w:t>
      </w:r>
      <w:r w:rsidR="005C5E02">
        <w:t xml:space="preserve">The various attributes of ranks between the chiefdoms were ranked based on the population size, the ability of the leader to receive gifts from the different members, and his ability to give out to the people. The leadership position was mainly hierarchy within the family member with leadership skills. The majority of the religious leaders equally formed ranks within the chiefdoms to rule the people across difficult situations based on the trust vested in them. </w:t>
      </w:r>
      <w:r w:rsidR="00810597">
        <w:t>The chief often had the authority over another member due to their influence over other members. The different people were classified based on prestige, wealth, and authority forming the ranks. Other attributes used in the ranking were based on the social hierarchy of the people, economic centralization, the political power based on the characteristics of collecting goods in the form of taxes, a</w:t>
      </w:r>
      <w:r w:rsidR="00AA2947">
        <w:t xml:space="preserve">nd ideological means such as ritual and military coercion. The majority of the archaeologist have concluded that power strategies are often materialized archaeologically in many different ways, such as the settlement hierarchies, specialized production of prestige goods, monumental construction, and the exchange of varying household goods and demonstrating militarism. The various </w:t>
      </w:r>
      <w:r>
        <w:t>lineages were traced down based on the burial activities, such as the open pits and covered by the barrow. The people were usually placed in a unique position recumbent while making the attributes on the sex of the death. The woman was often buried facing the left while the man faced right. Such burial attributes change with people being buried straight and position losing their significan</w:t>
      </w:r>
      <w:r w:rsidR="008717D4">
        <w:t>ce (</w:t>
      </w:r>
      <w:r w:rsidR="008717D4">
        <w:rPr>
          <w:shd w:val="clear" w:color="auto" w:fill="FFFFFF"/>
        </w:rPr>
        <w:t xml:space="preserve">JM, </w:t>
      </w:r>
      <w:r w:rsidR="008717D4">
        <w:rPr>
          <w:shd w:val="clear" w:color="auto" w:fill="FFFFFF"/>
        </w:rPr>
        <w:t xml:space="preserve">2014). </w:t>
      </w:r>
      <w:r>
        <w:t xml:space="preserve"> </w:t>
      </w:r>
    </w:p>
    <w:p w:rsidR="00D965D7" w:rsidP="001E0D39">
      <w:pPr>
        <w:ind w:firstLine="720"/>
        <w:jc w:val="left"/>
      </w:pPr>
      <w:r>
        <w:t xml:space="preserve">The settlement hierarchy is </w:t>
      </w:r>
      <w:r w:rsidR="00AF4CE2">
        <w:t>defined</w:t>
      </w:r>
      <w:r>
        <w:t xml:space="preserve"> as the possible means of arranging the </w:t>
      </w:r>
      <w:r w:rsidR="007A0FE2">
        <w:t>settlement based on different factors such as population</w:t>
      </w:r>
      <w:r w:rsidR="00AF4CE2">
        <w:t>. The archaeologists attempt to classify the possible attributes based on cities, states, and city-states based on administrative or bureaucratic characteristics of the area's structures</w:t>
      </w:r>
      <w:r w:rsidR="00AF4CE2">
        <w:t xml:space="preserve">, such as the more straightforward or more complicated structures found in the area. </w:t>
      </w:r>
      <w:r w:rsidR="009A57FA">
        <w:t xml:space="preserve">Therefore, the hierarchy more often took the shape of the pyramid. The settlement took two forms throughout history, either permanent or temporary accommodation. The settlements ranged from the isolated place accommodating few people, the larger hamlets that occupied approximately 100 people or less and later expanded to the villages. The villages later formed towns with a population between 1000 and 20 000. </w:t>
      </w:r>
      <w:r>
        <w:t xml:space="preserve">The small cities later attracted most people to create large towns with over 20,000 </w:t>
      </w:r>
      <w:r w:rsidR="008717D4">
        <w:t>people (</w:t>
      </w:r>
      <w:r w:rsidR="008717D4">
        <w:rPr>
          <w:shd w:val="clear" w:color="auto" w:fill="FFFFFF"/>
        </w:rPr>
        <w:t>Cesaretti</w:t>
      </w:r>
      <w:r w:rsidR="008717D4">
        <w:rPr>
          <w:shd w:val="clear" w:color="auto" w:fill="FFFFFF"/>
        </w:rPr>
        <w:t xml:space="preserve"> et al., 2016).</w:t>
      </w:r>
    </w:p>
    <w:p w:rsidR="00C47A90" w:rsidP="008717D4">
      <w:pPr>
        <w:ind w:firstLine="720"/>
        <w:jc w:val="left"/>
      </w:pPr>
      <w:r>
        <w:t>The aspect of coercion is often difficult to recognize arch</w:t>
      </w:r>
      <w:r w:rsidR="003B2C74">
        <w:t xml:space="preserve">eologically. It was based on the influence of various chiefs to influence the people to donate part of their products to maintain the wealthy position of the chiefs and prevent the emergence of any crisis or leadership rankles experienced by the people in the society. It was more based on establishing partnership among the population, and burial activities at the </w:t>
      </w:r>
      <w:r>
        <w:t>cemetery</w:t>
      </w:r>
      <w:r w:rsidR="003B2C74">
        <w:t xml:space="preserve"> promoted co</w:t>
      </w:r>
      <w:r>
        <w:t xml:space="preserve">ercion. The chiefs in charge of the chiefdoms often used their ritual capacity to legitimize power. They were expected to be the members with the unique attributes to rule different communities since they were considered honest and often solved disputes emerging between the members. </w:t>
      </w:r>
    </w:p>
    <w:p w:rsidR="00C47A90">
      <w:r>
        <w:br w:type="page"/>
      </w:r>
    </w:p>
    <w:p w:rsidR="00C47A90" w:rsidP="00EB4F01">
      <w:pPr>
        <w:ind w:firstLine="720"/>
      </w:pPr>
      <w:r>
        <w:t>References</w:t>
      </w:r>
    </w:p>
    <w:p w:rsidR="00EB4F01" w:rsidP="00EB4F01">
      <w:pPr>
        <w:ind w:left="720" w:hanging="720"/>
        <w:jc w:val="left"/>
      </w:pPr>
      <w:bookmarkStart w:id="0" w:name="_GoBack"/>
    </w:p>
    <w:p w:rsidR="00EB4F01" w:rsidP="00EB4F01">
      <w:pPr>
        <w:ind w:left="720" w:hanging="720"/>
        <w:jc w:val="left"/>
        <w:rPr>
          <w:shd w:val="clear" w:color="auto" w:fill="FFFFFF"/>
        </w:rPr>
      </w:pPr>
      <w:r>
        <w:rPr>
          <w:shd w:val="clear" w:color="auto" w:fill="FFFFFF"/>
        </w:rPr>
        <w:t>Acemoglu</w:t>
      </w:r>
      <w:r>
        <w:rPr>
          <w:shd w:val="clear" w:color="auto" w:fill="FFFFFF"/>
        </w:rPr>
        <w:t>, D., Reed, T., &amp; Robinson, J. A. (2013). </w:t>
      </w:r>
      <w:r>
        <w:rPr>
          <w:i/>
          <w:iCs/>
          <w:shd w:val="clear" w:color="auto" w:fill="FFFFFF"/>
        </w:rPr>
        <w:t>Chiefs: elite control of civil society and economic development in Sierra Leone</w:t>
      </w:r>
      <w:r>
        <w:rPr>
          <w:shd w:val="clear" w:color="auto" w:fill="FFFFFF"/>
        </w:rPr>
        <w:t> (No. w18691). National Bureau of Economic Research.</w:t>
      </w:r>
    </w:p>
    <w:p w:rsidR="00EB4F01" w:rsidP="00EB4F01">
      <w:pPr>
        <w:ind w:left="720" w:hanging="720"/>
        <w:jc w:val="left"/>
        <w:rPr>
          <w:shd w:val="clear" w:color="auto" w:fill="FFFFFF"/>
        </w:rPr>
      </w:pPr>
      <w:r>
        <w:rPr>
          <w:shd w:val="clear" w:color="auto" w:fill="FFFFFF"/>
        </w:rPr>
        <w:t xml:space="preserve">Alba </w:t>
      </w:r>
      <w:r>
        <w:rPr>
          <w:shd w:val="clear" w:color="auto" w:fill="FFFFFF"/>
        </w:rPr>
        <w:t>Luzón</w:t>
      </w:r>
      <w:r>
        <w:rPr>
          <w:shd w:val="clear" w:color="auto" w:fill="FFFFFF"/>
        </w:rPr>
        <w:t xml:space="preserve">, M., &amp; </w:t>
      </w:r>
      <w:r>
        <w:rPr>
          <w:shd w:val="clear" w:color="auto" w:fill="FFFFFF"/>
        </w:rPr>
        <w:t>García</w:t>
      </w:r>
      <w:r>
        <w:rPr>
          <w:shd w:val="clear" w:color="auto" w:fill="FFFFFF"/>
        </w:rPr>
        <w:t xml:space="preserve"> </w:t>
      </w:r>
      <w:r>
        <w:rPr>
          <w:shd w:val="clear" w:color="auto" w:fill="FFFFFF"/>
        </w:rPr>
        <w:t>Atiénzar</w:t>
      </w:r>
      <w:r>
        <w:rPr>
          <w:shd w:val="clear" w:color="auto" w:fill="FFFFFF"/>
        </w:rPr>
        <w:t xml:space="preserve">, G. (2018). Beaker pottery in the </w:t>
      </w:r>
      <w:r>
        <w:rPr>
          <w:shd w:val="clear" w:color="auto" w:fill="FFFFFF"/>
        </w:rPr>
        <w:t>Peñón</w:t>
      </w:r>
      <w:r>
        <w:rPr>
          <w:shd w:val="clear" w:color="auto" w:fill="FFFFFF"/>
        </w:rPr>
        <w:t xml:space="preserve"> de la </w:t>
      </w:r>
      <w:r>
        <w:rPr>
          <w:shd w:val="clear" w:color="auto" w:fill="FFFFFF"/>
        </w:rPr>
        <w:t>Zorra</w:t>
      </w:r>
      <w:r>
        <w:rPr>
          <w:shd w:val="clear" w:color="auto" w:fill="FFFFFF"/>
        </w:rPr>
        <w:t xml:space="preserve"> (Alicante, Spain): The social complexity change and emergence between the Neolithic and the Bronze Age.</w:t>
      </w:r>
    </w:p>
    <w:p w:rsidR="00EB4F01" w:rsidP="00EB4F01">
      <w:pPr>
        <w:ind w:left="720" w:hanging="720"/>
        <w:jc w:val="left"/>
        <w:rPr>
          <w:shd w:val="clear" w:color="auto" w:fill="FFFFFF"/>
        </w:rPr>
      </w:pPr>
      <w:r>
        <w:rPr>
          <w:shd w:val="clear" w:color="auto" w:fill="FFFFFF"/>
        </w:rPr>
        <w:t>Carneiro</w:t>
      </w:r>
      <w:r>
        <w:rPr>
          <w:shd w:val="clear" w:color="auto" w:fill="FFFFFF"/>
        </w:rPr>
        <w:t xml:space="preserve">, R. L., &amp; </w:t>
      </w:r>
      <w:r>
        <w:rPr>
          <w:shd w:val="clear" w:color="auto" w:fill="FFFFFF"/>
        </w:rPr>
        <w:t>Grinin</w:t>
      </w:r>
      <w:r>
        <w:rPr>
          <w:shd w:val="clear" w:color="auto" w:fill="FFFFFF"/>
        </w:rPr>
        <w:t>, L. E. (2017). ELIOT WERNER PUBLICATIONS, INC.</w:t>
      </w:r>
    </w:p>
    <w:p w:rsidR="00EB4F01" w:rsidP="00EB4F01">
      <w:pPr>
        <w:ind w:left="720" w:hanging="720"/>
        <w:jc w:val="left"/>
        <w:rPr>
          <w:shd w:val="clear" w:color="auto" w:fill="FFFFFF"/>
        </w:rPr>
      </w:pPr>
      <w:r>
        <w:rPr>
          <w:shd w:val="clear" w:color="auto" w:fill="FFFFFF"/>
        </w:rPr>
        <w:t>Cesaretti</w:t>
      </w:r>
      <w:r>
        <w:rPr>
          <w:shd w:val="clear" w:color="auto" w:fill="FFFFFF"/>
        </w:rPr>
        <w:t xml:space="preserve">, R., Lobo, J., Bettencourt, L. M., </w:t>
      </w:r>
      <w:r>
        <w:rPr>
          <w:shd w:val="clear" w:color="auto" w:fill="FFFFFF"/>
        </w:rPr>
        <w:t>Ortman</w:t>
      </w:r>
      <w:r>
        <w:rPr>
          <w:shd w:val="clear" w:color="auto" w:fill="FFFFFF"/>
        </w:rPr>
        <w:t>, S. G., &amp; Smith, M. E. (2016). Population-area relationship for Medieval European cities. </w:t>
      </w:r>
      <w:r>
        <w:rPr>
          <w:i/>
          <w:iCs/>
          <w:shd w:val="clear" w:color="auto" w:fill="FFFFFF"/>
        </w:rPr>
        <w:t>PloS</w:t>
      </w:r>
      <w:r>
        <w:rPr>
          <w:i/>
          <w:iCs/>
          <w:shd w:val="clear" w:color="auto" w:fill="FFFFFF"/>
        </w:rPr>
        <w:t xml:space="preserve"> one</w:t>
      </w:r>
      <w:r>
        <w:rPr>
          <w:shd w:val="clear" w:color="auto" w:fill="FFFFFF"/>
        </w:rPr>
        <w:t>, </w:t>
      </w:r>
      <w:r>
        <w:rPr>
          <w:i/>
          <w:iCs/>
          <w:shd w:val="clear" w:color="auto" w:fill="FFFFFF"/>
        </w:rPr>
        <w:t>11</w:t>
      </w:r>
      <w:r>
        <w:rPr>
          <w:shd w:val="clear" w:color="auto" w:fill="FFFFFF"/>
        </w:rPr>
        <w:t>(10), e0162678.</w:t>
      </w:r>
    </w:p>
    <w:p w:rsidR="00EB4F01" w:rsidRPr="00B91021" w:rsidP="00EB4F01">
      <w:pPr>
        <w:ind w:left="720" w:hanging="720"/>
        <w:jc w:val="left"/>
      </w:pPr>
      <w:r>
        <w:rPr>
          <w:shd w:val="clear" w:color="auto" w:fill="FFFFFF"/>
        </w:rPr>
        <w:t>Cunliffe</w:t>
      </w:r>
      <w:r>
        <w:rPr>
          <w:shd w:val="clear" w:color="auto" w:fill="FFFFFF"/>
        </w:rPr>
        <w:t>, B. W. (2008). </w:t>
      </w:r>
      <w:r>
        <w:rPr>
          <w:i/>
          <w:iCs/>
          <w:shd w:val="clear" w:color="auto" w:fill="FFFFFF"/>
        </w:rPr>
        <w:t>Europe between the Oceans, 9000 BC to AD 1000</w:t>
      </w:r>
      <w:r>
        <w:rPr>
          <w:shd w:val="clear" w:color="auto" w:fill="FFFFFF"/>
        </w:rPr>
        <w:t> (p. 413). New Haven: Yale University Press.</w:t>
      </w:r>
    </w:p>
    <w:p w:rsidR="00EB4F01" w:rsidP="00EB4F01">
      <w:pPr>
        <w:ind w:left="720" w:hanging="720"/>
        <w:jc w:val="left"/>
        <w:rPr>
          <w:shd w:val="clear" w:color="auto" w:fill="FFFFFF"/>
        </w:rPr>
      </w:pPr>
      <w:r>
        <w:rPr>
          <w:shd w:val="clear" w:color="auto" w:fill="FFFFFF"/>
        </w:rPr>
        <w:t xml:space="preserve">Gaffney, C., Gaffney, V., </w:t>
      </w:r>
      <w:r>
        <w:rPr>
          <w:shd w:val="clear" w:color="auto" w:fill="FFFFFF"/>
        </w:rPr>
        <w:t>Neubauer</w:t>
      </w:r>
      <w:r>
        <w:rPr>
          <w:shd w:val="clear" w:color="auto" w:fill="FFFFFF"/>
        </w:rPr>
        <w:t>, W., Baldwin, E., Chapman, H., Garwood, P</w:t>
      </w:r>
      <w:r>
        <w:rPr>
          <w:shd w:val="clear" w:color="auto" w:fill="FFFFFF"/>
        </w:rPr>
        <w:t>., ...</w:t>
      </w:r>
      <w:r>
        <w:rPr>
          <w:shd w:val="clear" w:color="auto" w:fill="FFFFFF"/>
        </w:rPr>
        <w:t xml:space="preserve"> &amp; </w:t>
      </w:r>
      <w:r>
        <w:rPr>
          <w:shd w:val="clear" w:color="auto" w:fill="FFFFFF"/>
        </w:rPr>
        <w:t>Doneus</w:t>
      </w:r>
      <w:r>
        <w:rPr>
          <w:shd w:val="clear" w:color="auto" w:fill="FFFFFF"/>
        </w:rPr>
        <w:t>, M. (2012). The Stonehenge hidden landscapes project. </w:t>
      </w:r>
      <w:r>
        <w:rPr>
          <w:i/>
          <w:iCs/>
          <w:shd w:val="clear" w:color="auto" w:fill="FFFFFF"/>
        </w:rPr>
        <w:t>Archaeological Prospection</w:t>
      </w:r>
      <w:r>
        <w:rPr>
          <w:shd w:val="clear" w:color="auto" w:fill="FFFFFF"/>
        </w:rPr>
        <w:t>, </w:t>
      </w:r>
      <w:r>
        <w:rPr>
          <w:i/>
          <w:iCs/>
          <w:shd w:val="clear" w:color="auto" w:fill="FFFFFF"/>
        </w:rPr>
        <w:t>19</w:t>
      </w:r>
      <w:r>
        <w:rPr>
          <w:shd w:val="clear" w:color="auto" w:fill="FFFFFF"/>
        </w:rPr>
        <w:t>(2), 147-155.</w:t>
      </w:r>
    </w:p>
    <w:p w:rsidR="00EB4F01" w:rsidP="00EB4F01">
      <w:pPr>
        <w:ind w:left="720" w:hanging="720"/>
        <w:jc w:val="left"/>
        <w:rPr>
          <w:shd w:val="clear" w:color="auto" w:fill="FFFFFF"/>
        </w:rPr>
      </w:pPr>
      <w:r>
        <w:rPr>
          <w:shd w:val="clear" w:color="auto" w:fill="FFFFFF"/>
        </w:rPr>
        <w:t xml:space="preserve">Harding, A. F. (2011). The </w:t>
      </w:r>
      <w:r>
        <w:rPr>
          <w:shd w:val="clear" w:color="auto" w:fill="FFFFFF"/>
        </w:rPr>
        <w:t>bronze age</w:t>
      </w:r>
      <w:r>
        <w:rPr>
          <w:shd w:val="clear" w:color="auto" w:fill="FFFFFF"/>
        </w:rPr>
        <w:t>. In </w:t>
      </w:r>
      <w:r>
        <w:rPr>
          <w:i/>
          <w:iCs/>
          <w:shd w:val="clear" w:color="auto" w:fill="FFFFFF"/>
        </w:rPr>
        <w:t>European Prehistory</w:t>
      </w:r>
      <w:r>
        <w:rPr>
          <w:shd w:val="clear" w:color="auto" w:fill="FFFFFF"/>
        </w:rPr>
        <w:t> (pp. 327-403). Springer, New York, NY.</w:t>
      </w:r>
    </w:p>
    <w:p w:rsidR="00EB4F01" w:rsidP="00EB4F01">
      <w:pPr>
        <w:ind w:left="720" w:hanging="720"/>
        <w:jc w:val="left"/>
        <w:rPr>
          <w:shd w:val="clear" w:color="auto" w:fill="FFFFFF"/>
        </w:rPr>
      </w:pPr>
      <w:r>
        <w:rPr>
          <w:shd w:val="clear" w:color="auto" w:fill="FFFFFF"/>
        </w:rPr>
        <w:t>Iversen</w:t>
      </w:r>
      <w:r>
        <w:rPr>
          <w:shd w:val="clear" w:color="auto" w:fill="FFFFFF"/>
        </w:rPr>
        <w:t>, R. (2017). Big-Men and Small Chiefs: The Creation of Bronze Age Societies. </w:t>
      </w:r>
      <w:r>
        <w:rPr>
          <w:i/>
          <w:iCs/>
          <w:shd w:val="clear" w:color="auto" w:fill="FFFFFF"/>
        </w:rPr>
        <w:t>Open Archaeology</w:t>
      </w:r>
      <w:r>
        <w:rPr>
          <w:shd w:val="clear" w:color="auto" w:fill="FFFFFF"/>
        </w:rPr>
        <w:t>, </w:t>
      </w:r>
      <w:r>
        <w:rPr>
          <w:i/>
          <w:iCs/>
          <w:shd w:val="clear" w:color="auto" w:fill="FFFFFF"/>
        </w:rPr>
        <w:t>3</w:t>
      </w:r>
      <w:r>
        <w:rPr>
          <w:shd w:val="clear" w:color="auto" w:fill="FFFFFF"/>
        </w:rPr>
        <w:t>(1), 361-375.</w:t>
      </w:r>
    </w:p>
    <w:p w:rsidR="00EB4F01" w:rsidP="00EB4F01">
      <w:pPr>
        <w:ind w:left="720" w:hanging="720"/>
        <w:jc w:val="left"/>
        <w:rPr>
          <w:shd w:val="clear" w:color="auto" w:fill="FFFFFF"/>
        </w:rPr>
      </w:pPr>
      <w:r>
        <w:rPr>
          <w:shd w:val="clear" w:color="auto" w:fill="FFFFFF"/>
        </w:rPr>
        <w:t>JM, C. H. (2014). From incidental leaders to paramount chiefs: the Evolution of socio-political organization. </w:t>
      </w:r>
      <w:r>
        <w:rPr>
          <w:i/>
          <w:iCs/>
          <w:shd w:val="clear" w:color="auto" w:fill="FFFFFF"/>
        </w:rPr>
        <w:t>Social Evolution &amp; History</w:t>
      </w:r>
      <w:r>
        <w:rPr>
          <w:shd w:val="clear" w:color="auto" w:fill="FFFFFF"/>
        </w:rPr>
        <w:t>, </w:t>
      </w:r>
      <w:r>
        <w:rPr>
          <w:i/>
          <w:iCs/>
          <w:shd w:val="clear" w:color="auto" w:fill="FFFFFF"/>
        </w:rPr>
        <w:t>13</w:t>
      </w:r>
      <w:r>
        <w:rPr>
          <w:shd w:val="clear" w:color="auto" w:fill="FFFFFF"/>
        </w:rPr>
        <w:t>(1).</w:t>
      </w:r>
    </w:p>
    <w:p w:rsidR="00EB4F01" w:rsidP="00EB4F01">
      <w:pPr>
        <w:ind w:left="720" w:hanging="720"/>
        <w:jc w:val="left"/>
        <w:rPr>
          <w:shd w:val="clear" w:color="auto" w:fill="FFFFFF"/>
        </w:rPr>
      </w:pPr>
      <w:r>
        <w:rPr>
          <w:shd w:val="clear" w:color="auto" w:fill="FFFFFF"/>
        </w:rPr>
        <w:t>Rogers, J. D. (2012). Inner Asian states and empires: Theories and synthesis. </w:t>
      </w:r>
      <w:r>
        <w:rPr>
          <w:i/>
          <w:iCs/>
          <w:shd w:val="clear" w:color="auto" w:fill="FFFFFF"/>
        </w:rPr>
        <w:t>Journal of Archaeological Research</w:t>
      </w:r>
      <w:r>
        <w:rPr>
          <w:shd w:val="clear" w:color="auto" w:fill="FFFFFF"/>
        </w:rPr>
        <w:t>, </w:t>
      </w:r>
      <w:r>
        <w:rPr>
          <w:i/>
          <w:iCs/>
          <w:shd w:val="clear" w:color="auto" w:fill="FFFFFF"/>
        </w:rPr>
        <w:t>20</w:t>
      </w:r>
      <w:r>
        <w:rPr>
          <w:shd w:val="clear" w:color="auto" w:fill="FFFFFF"/>
        </w:rPr>
        <w:t>(3), 205-256.</w:t>
      </w:r>
    </w:p>
    <w:p w:rsidR="00EB4F01" w:rsidP="00EB4F01">
      <w:pPr>
        <w:ind w:left="720" w:hanging="720"/>
        <w:jc w:val="left"/>
        <w:rPr>
          <w:shd w:val="clear" w:color="auto" w:fill="FFFFFF"/>
        </w:rPr>
      </w:pPr>
      <w:r>
        <w:rPr>
          <w:shd w:val="clear" w:color="auto" w:fill="FFFFFF"/>
        </w:rPr>
        <w:t xml:space="preserve">Scott, A. J., &amp; </w:t>
      </w:r>
      <w:r>
        <w:rPr>
          <w:shd w:val="clear" w:color="auto" w:fill="FFFFFF"/>
        </w:rPr>
        <w:t>Storper</w:t>
      </w:r>
      <w:r>
        <w:rPr>
          <w:shd w:val="clear" w:color="auto" w:fill="FFFFFF"/>
        </w:rPr>
        <w:t>, M. (2015). The nature of cities: The scope and limits of urban theory. </w:t>
      </w:r>
      <w:r>
        <w:rPr>
          <w:i/>
          <w:iCs/>
          <w:shd w:val="clear" w:color="auto" w:fill="FFFFFF"/>
        </w:rPr>
        <w:t>International journal of urban and regional research</w:t>
      </w:r>
      <w:r>
        <w:rPr>
          <w:shd w:val="clear" w:color="auto" w:fill="FFFFFF"/>
        </w:rPr>
        <w:t>, </w:t>
      </w:r>
      <w:r>
        <w:rPr>
          <w:i/>
          <w:iCs/>
          <w:shd w:val="clear" w:color="auto" w:fill="FFFFFF"/>
        </w:rPr>
        <w:t>39</w:t>
      </w:r>
      <w:r>
        <w:rPr>
          <w:shd w:val="clear" w:color="auto" w:fill="FFFFFF"/>
        </w:rPr>
        <w:t>(1), 1-15.</w:t>
      </w:r>
    </w:p>
    <w:p w:rsidR="00EB4F01" w:rsidP="00EB4F01">
      <w:pPr>
        <w:ind w:left="720" w:hanging="720"/>
        <w:jc w:val="left"/>
        <w:rPr>
          <w:shd w:val="clear" w:color="auto" w:fill="FFFFFF"/>
        </w:rPr>
      </w:pPr>
      <w:r>
        <w:rPr>
          <w:shd w:val="clear" w:color="auto" w:fill="FFFFFF"/>
        </w:rPr>
        <w:t>Shea</w:t>
      </w:r>
      <w:r>
        <w:rPr>
          <w:shd w:val="clear" w:color="auto" w:fill="FFFFFF"/>
        </w:rPr>
        <w:t>, J. J. (2020). Prehistoric stone tools of eastern Africa: A guide. Cambridge University Press.</w:t>
      </w:r>
    </w:p>
    <w:p w:rsidR="00EB4F01" w:rsidP="00EB4F01">
      <w:pPr>
        <w:ind w:left="720" w:hanging="720"/>
        <w:jc w:val="left"/>
        <w:rPr>
          <w:shd w:val="clear" w:color="auto" w:fill="FFFFFF"/>
        </w:rPr>
      </w:pPr>
      <w:r>
        <w:rPr>
          <w:shd w:val="clear" w:color="auto" w:fill="FFFFFF"/>
        </w:rPr>
        <w:t xml:space="preserve">Singh, K., </w:t>
      </w:r>
      <w:r>
        <w:rPr>
          <w:shd w:val="clear" w:color="auto" w:fill="FFFFFF"/>
        </w:rPr>
        <w:t>Sarma</w:t>
      </w:r>
      <w:r>
        <w:rPr>
          <w:shd w:val="clear" w:color="auto" w:fill="FFFFFF"/>
        </w:rPr>
        <w:t xml:space="preserve">, U. K., </w:t>
      </w:r>
      <w:r>
        <w:rPr>
          <w:shd w:val="clear" w:color="auto" w:fill="FFFFFF"/>
        </w:rPr>
        <w:t>Behera</w:t>
      </w:r>
      <w:r>
        <w:rPr>
          <w:shd w:val="clear" w:color="auto" w:fill="FFFFFF"/>
        </w:rPr>
        <w:t xml:space="preserve">, H. C., &amp; Singh, R. (2017). Block-7 Economic </w:t>
      </w:r>
      <w:r>
        <w:rPr>
          <w:shd w:val="clear" w:color="auto" w:fill="FFFFFF"/>
        </w:rPr>
        <w:t>And</w:t>
      </w:r>
      <w:r>
        <w:rPr>
          <w:shd w:val="clear" w:color="auto" w:fill="FFFFFF"/>
        </w:rPr>
        <w:t xml:space="preserve"> Political Organisations.</w:t>
      </w:r>
    </w:p>
    <w:p w:rsidR="00EB4F01" w:rsidP="00EB4F01">
      <w:pPr>
        <w:ind w:left="720" w:hanging="720"/>
        <w:jc w:val="left"/>
        <w:rPr>
          <w:shd w:val="clear" w:color="auto" w:fill="FFFFFF"/>
        </w:rPr>
      </w:pPr>
      <w:r>
        <w:rPr>
          <w:shd w:val="clear" w:color="auto" w:fill="FFFFFF"/>
        </w:rPr>
        <w:t>SOUTH-WEST, T. I. P. MEGALITHIC TOMBS, METAL RESOURCES AND.\</w:t>
      </w:r>
    </w:p>
    <w:p w:rsidR="00EB4F01" w:rsidP="00EB4F01">
      <w:pPr>
        <w:ind w:left="720" w:hanging="720"/>
        <w:jc w:val="left"/>
        <w:rPr>
          <w:shd w:val="clear" w:color="auto" w:fill="FFFFFF"/>
        </w:rPr>
      </w:pPr>
      <w:r>
        <w:rPr>
          <w:shd w:val="clear" w:color="auto" w:fill="FFFFFF"/>
        </w:rPr>
        <w:t>Steger, M. B. (2017). </w:t>
      </w:r>
      <w:r>
        <w:rPr>
          <w:i/>
          <w:iCs/>
          <w:shd w:val="clear" w:color="auto" w:fill="FFFFFF"/>
        </w:rPr>
        <w:t>Globalization: A concise introduction</w:t>
      </w:r>
      <w:r>
        <w:rPr>
          <w:shd w:val="clear" w:color="auto" w:fill="FFFFFF"/>
        </w:rPr>
        <w:t> (Vol. 86). Oxford University Press.</w:t>
      </w:r>
    </w:p>
    <w:p w:rsidR="00EB4F01" w:rsidP="00EB4F01">
      <w:pPr>
        <w:ind w:left="720" w:hanging="720"/>
        <w:jc w:val="left"/>
        <w:rPr>
          <w:shd w:val="clear" w:color="auto" w:fill="FFFFFF"/>
        </w:rPr>
      </w:pPr>
      <w:r>
        <w:rPr>
          <w:shd w:val="clear" w:color="auto" w:fill="FFFFFF"/>
        </w:rPr>
        <w:t>Sutton, M. Q., &amp; Anderson, E. N. (2020). </w:t>
      </w:r>
      <w:r>
        <w:rPr>
          <w:i/>
          <w:iCs/>
          <w:shd w:val="clear" w:color="auto" w:fill="FFFFFF"/>
        </w:rPr>
        <w:t>Introduction to cultural ecology</w:t>
      </w:r>
      <w:r>
        <w:rPr>
          <w:shd w:val="clear" w:color="auto" w:fill="FFFFFF"/>
        </w:rPr>
        <w:t>. Routledge.</w:t>
      </w:r>
      <w:bookmarkEnd w:id="0"/>
    </w:p>
    <w:sectPr>
      <w:headerReference w:type="default" r:id="rId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4767657"/>
      <w:docPartObj>
        <w:docPartGallery w:val="Page Numbers (Top of Page)"/>
        <w:docPartUnique/>
      </w:docPartObj>
    </w:sdtPr>
    <w:sdtEndPr>
      <w:rPr>
        <w:noProof/>
      </w:rPr>
    </w:sdtEndPr>
    <w:sdtContent>
      <w:p w:rsidR="00000A46">
        <w:pPr>
          <w:pStyle w:val="Header"/>
          <w:jc w:val="right"/>
        </w:pPr>
        <w:r>
          <w:fldChar w:fldCharType="begin"/>
        </w:r>
        <w:r>
          <w:instrText xml:space="preserve"> PAGE   \* MERGEFORMAT </w:instrText>
        </w:r>
        <w:r>
          <w:fldChar w:fldCharType="separate"/>
        </w:r>
        <w:r w:rsidR="00EB4F01">
          <w:rPr>
            <w:noProof/>
          </w:rPr>
          <w:t>1</w:t>
        </w:r>
        <w:r>
          <w:rPr>
            <w:noProof/>
          </w:rPr>
          <w:fldChar w:fldCharType="end"/>
        </w:r>
      </w:p>
    </w:sdtContent>
  </w:sdt>
  <w:p w:rsidR="00000A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229"/>
    <w:rsid w:val="00000A46"/>
    <w:rsid w:val="000067C6"/>
    <w:rsid w:val="00043600"/>
    <w:rsid w:val="000E699F"/>
    <w:rsid w:val="000F5E36"/>
    <w:rsid w:val="0010527A"/>
    <w:rsid w:val="001D3229"/>
    <w:rsid w:val="001E0D39"/>
    <w:rsid w:val="001F4B50"/>
    <w:rsid w:val="002775C1"/>
    <w:rsid w:val="0034103F"/>
    <w:rsid w:val="003B2C74"/>
    <w:rsid w:val="003D7B50"/>
    <w:rsid w:val="003E19F3"/>
    <w:rsid w:val="003E6ECA"/>
    <w:rsid w:val="00435299"/>
    <w:rsid w:val="00572BB8"/>
    <w:rsid w:val="00583CE0"/>
    <w:rsid w:val="00585337"/>
    <w:rsid w:val="00593422"/>
    <w:rsid w:val="005B166E"/>
    <w:rsid w:val="005C5E02"/>
    <w:rsid w:val="00603FFE"/>
    <w:rsid w:val="00612ED7"/>
    <w:rsid w:val="00666313"/>
    <w:rsid w:val="007116FF"/>
    <w:rsid w:val="00724ADD"/>
    <w:rsid w:val="00757F9B"/>
    <w:rsid w:val="007753EC"/>
    <w:rsid w:val="007A0FE2"/>
    <w:rsid w:val="007A5F97"/>
    <w:rsid w:val="00810597"/>
    <w:rsid w:val="00821014"/>
    <w:rsid w:val="0082181B"/>
    <w:rsid w:val="00830307"/>
    <w:rsid w:val="00866E17"/>
    <w:rsid w:val="008717D4"/>
    <w:rsid w:val="008A7FAA"/>
    <w:rsid w:val="00946213"/>
    <w:rsid w:val="00985496"/>
    <w:rsid w:val="009A57FA"/>
    <w:rsid w:val="00A402FE"/>
    <w:rsid w:val="00A86BEA"/>
    <w:rsid w:val="00AA2947"/>
    <w:rsid w:val="00AD2840"/>
    <w:rsid w:val="00AD647C"/>
    <w:rsid w:val="00AE3F87"/>
    <w:rsid w:val="00AF4CE2"/>
    <w:rsid w:val="00B10A3C"/>
    <w:rsid w:val="00B1490F"/>
    <w:rsid w:val="00B21675"/>
    <w:rsid w:val="00B86A46"/>
    <w:rsid w:val="00B91021"/>
    <w:rsid w:val="00B93D8B"/>
    <w:rsid w:val="00C47A90"/>
    <w:rsid w:val="00C97614"/>
    <w:rsid w:val="00CF244E"/>
    <w:rsid w:val="00CF36C0"/>
    <w:rsid w:val="00D053E4"/>
    <w:rsid w:val="00D76203"/>
    <w:rsid w:val="00D81944"/>
    <w:rsid w:val="00D90421"/>
    <w:rsid w:val="00D965D7"/>
    <w:rsid w:val="00DB37C9"/>
    <w:rsid w:val="00E00A76"/>
    <w:rsid w:val="00E40852"/>
    <w:rsid w:val="00EB4F01"/>
    <w:rsid w:val="00EB62A7"/>
    <w:rsid w:val="00F37ED8"/>
    <w:rsid w:val="00F90CE7"/>
    <w:rsid w:val="00FB58A4"/>
    <w:rsid w:val="00FD72B1"/>
    <w:rsid w:val="00FE2C40"/>
  </w:rsids>
  <w:docVars>
    <w:docVar w:name="__Grammarly_42___1" w:val="H4sIAAAAAAAEAKtWcslP9kxRslIyNDayMLawNLcwMTY3NzM1NjdS0lEKTi0uzszPAykwrAUAbW3XJiwAAAA="/>
    <w:docVar w:name="__Grammarly_42____i" w:val="H4sIAAAAAAAEAKtWckksSQxILCpxzi/NK1GyMqwFAAEhoTITAAAA"/>
  </w:docVars>
  <m:mathPr>
    <m:mathFont m:val="Cambria Math"/>
  </m:mathPr>
  <w:themeFontLang w:val="en-ZW"/>
  <w:clrSchemeMapping w:bg1="light1" w:t1="dark1" w:bg2="light2" w:t2="dark2" w:accent1="accent1" w:accent2="accent2" w:accent3="accent3" w:accent4="accent4" w:accent5="accent5" w:accent6="accent6" w:hyperlink="hyperlink" w:followedHyperlink="followedHyperlink"/>
  <w14:docId w14:val="71146CCB"/>
  <w15:chartTrackingRefBased/>
  <w15:docId w15:val="{92D74385-BC20-4451-8373-9D6029DDF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ZW"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944"/>
    <w:pPr>
      <w:tabs>
        <w:tab w:val="center" w:pos="4513"/>
        <w:tab w:val="right" w:pos="9026"/>
      </w:tabs>
      <w:spacing w:line="240" w:lineRule="auto"/>
    </w:pPr>
  </w:style>
  <w:style w:type="character" w:customStyle="1" w:styleId="HeaderChar">
    <w:name w:val="Header Char"/>
    <w:basedOn w:val="DefaultParagraphFont"/>
    <w:link w:val="Header"/>
    <w:uiPriority w:val="99"/>
    <w:rsid w:val="00D81944"/>
  </w:style>
  <w:style w:type="paragraph" w:styleId="Footer">
    <w:name w:val="footer"/>
    <w:basedOn w:val="Normal"/>
    <w:link w:val="FooterChar"/>
    <w:uiPriority w:val="99"/>
    <w:unhideWhenUsed/>
    <w:rsid w:val="00D81944"/>
    <w:pPr>
      <w:tabs>
        <w:tab w:val="center" w:pos="4513"/>
        <w:tab w:val="right" w:pos="9026"/>
      </w:tabs>
      <w:spacing w:line="240" w:lineRule="auto"/>
    </w:pPr>
  </w:style>
  <w:style w:type="character" w:customStyle="1" w:styleId="FooterChar">
    <w:name w:val="Footer Char"/>
    <w:basedOn w:val="DefaultParagraphFont"/>
    <w:link w:val="Footer"/>
    <w:uiPriority w:val="99"/>
    <w:rsid w:val="00D81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704</TotalTime>
  <Pages>11</Pages>
  <Words>2759</Words>
  <Characters>15729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2021-12-13T07:52:00Z</dcterms:created>
  <dcterms:modified xsi:type="dcterms:W3CDTF">2021-12-13T22:40:00Z</dcterms:modified>
</cp:coreProperties>
</file>