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62E4" w:rsidRDefault="003E62E4" w:rsidP="003E62E4">
      <w:pPr>
        <w:spacing w:line="480" w:lineRule="auto"/>
        <w:jc w:val="center"/>
        <w:rPr>
          <w:rFonts w:ascii="Times New Roman" w:hAnsi="Times New Roman" w:cs="Times New Roman"/>
          <w:b/>
          <w:sz w:val="24"/>
          <w:szCs w:val="24"/>
        </w:rPr>
      </w:pPr>
    </w:p>
    <w:p w:rsidR="003E62E4" w:rsidRDefault="003E62E4" w:rsidP="003E62E4">
      <w:pPr>
        <w:spacing w:line="480" w:lineRule="auto"/>
        <w:jc w:val="center"/>
        <w:rPr>
          <w:rFonts w:ascii="Times New Roman" w:hAnsi="Times New Roman" w:cs="Times New Roman"/>
          <w:b/>
          <w:sz w:val="24"/>
          <w:szCs w:val="24"/>
        </w:rPr>
      </w:pPr>
    </w:p>
    <w:p w:rsidR="003E62E4" w:rsidRDefault="003E62E4" w:rsidP="003E62E4">
      <w:pPr>
        <w:spacing w:line="480" w:lineRule="auto"/>
        <w:jc w:val="center"/>
        <w:rPr>
          <w:rFonts w:ascii="Times New Roman" w:hAnsi="Times New Roman" w:cs="Times New Roman"/>
          <w:b/>
          <w:sz w:val="24"/>
          <w:szCs w:val="24"/>
        </w:rPr>
      </w:pPr>
    </w:p>
    <w:p w:rsidR="003E62E4" w:rsidRDefault="003E62E4" w:rsidP="003E62E4">
      <w:pPr>
        <w:spacing w:line="480" w:lineRule="auto"/>
        <w:jc w:val="center"/>
        <w:rPr>
          <w:rFonts w:ascii="Times New Roman" w:hAnsi="Times New Roman" w:cs="Times New Roman"/>
          <w:b/>
          <w:sz w:val="24"/>
          <w:szCs w:val="24"/>
        </w:rPr>
      </w:pPr>
    </w:p>
    <w:p w:rsidR="003E62E4" w:rsidRDefault="003E62E4" w:rsidP="003E62E4">
      <w:pPr>
        <w:spacing w:line="480" w:lineRule="auto"/>
        <w:jc w:val="center"/>
        <w:rPr>
          <w:rFonts w:ascii="Times New Roman" w:hAnsi="Times New Roman" w:cs="Times New Roman"/>
          <w:b/>
          <w:sz w:val="24"/>
          <w:szCs w:val="24"/>
        </w:rPr>
      </w:pPr>
    </w:p>
    <w:p w:rsidR="003E62E4" w:rsidRPr="001743F3" w:rsidRDefault="003E62E4" w:rsidP="003E62E4">
      <w:pPr>
        <w:pStyle w:val="NormalWeb"/>
        <w:spacing w:before="0" w:beforeAutospacing="0" w:after="0" w:afterAutospacing="0" w:line="480" w:lineRule="auto"/>
        <w:jc w:val="center"/>
        <w:rPr>
          <w:b/>
          <w:color w:val="0E101A"/>
        </w:rPr>
      </w:pPr>
      <w:r w:rsidRPr="001743F3">
        <w:rPr>
          <w:b/>
          <w:color w:val="0E101A"/>
        </w:rPr>
        <w:t>Adolescent Development</w:t>
      </w:r>
    </w:p>
    <w:p w:rsidR="003E62E4" w:rsidRPr="00813936" w:rsidRDefault="003E62E4" w:rsidP="003E62E4">
      <w:pPr>
        <w:tabs>
          <w:tab w:val="left" w:pos="1780"/>
        </w:tabs>
        <w:spacing w:line="480" w:lineRule="auto"/>
        <w:jc w:val="center"/>
        <w:rPr>
          <w:rFonts w:ascii="Times New Roman" w:hAnsi="Times New Roman" w:cs="Times New Roman"/>
          <w:sz w:val="24"/>
          <w:szCs w:val="24"/>
        </w:rPr>
      </w:pPr>
      <w:r w:rsidRPr="00813936">
        <w:rPr>
          <w:rFonts w:ascii="Times New Roman" w:hAnsi="Times New Roman" w:cs="Times New Roman"/>
          <w:sz w:val="24"/>
          <w:szCs w:val="24"/>
        </w:rPr>
        <w:t>Name</w:t>
      </w:r>
    </w:p>
    <w:p w:rsidR="003E62E4" w:rsidRDefault="003E62E4" w:rsidP="003E62E4">
      <w:pPr>
        <w:tabs>
          <w:tab w:val="left" w:pos="1780"/>
        </w:tabs>
        <w:spacing w:line="480" w:lineRule="auto"/>
        <w:jc w:val="center"/>
        <w:rPr>
          <w:rFonts w:ascii="Times New Roman" w:hAnsi="Times New Roman" w:cs="Times New Roman"/>
          <w:b/>
          <w:sz w:val="24"/>
          <w:szCs w:val="24"/>
        </w:rPr>
      </w:pPr>
      <w:r w:rsidRPr="0086019F">
        <w:rPr>
          <w:rFonts w:ascii="Times New Roman" w:eastAsia="Times New Roman" w:hAnsi="Times New Roman" w:cs="Times New Roman"/>
          <w:color w:val="0E101A"/>
          <w:sz w:val="24"/>
          <w:szCs w:val="24"/>
        </w:rPr>
        <w:t>Institution</w:t>
      </w:r>
    </w:p>
    <w:p w:rsidR="003E62E4" w:rsidRPr="00813936" w:rsidRDefault="003E62E4" w:rsidP="003E62E4">
      <w:pPr>
        <w:tabs>
          <w:tab w:val="left" w:pos="1780"/>
        </w:tabs>
        <w:spacing w:line="480" w:lineRule="auto"/>
        <w:jc w:val="center"/>
        <w:rPr>
          <w:rFonts w:ascii="Times New Roman" w:hAnsi="Times New Roman" w:cs="Times New Roman"/>
          <w:b/>
          <w:sz w:val="24"/>
          <w:szCs w:val="24"/>
        </w:rPr>
      </w:pPr>
      <w:r w:rsidRPr="0086019F">
        <w:rPr>
          <w:rFonts w:ascii="Times New Roman" w:eastAsia="Times New Roman" w:hAnsi="Times New Roman" w:cs="Times New Roman"/>
          <w:color w:val="0E101A"/>
          <w:sz w:val="24"/>
          <w:szCs w:val="24"/>
        </w:rPr>
        <w:t>Date</w:t>
      </w:r>
    </w:p>
    <w:p w:rsidR="003E62E4" w:rsidRPr="0086019F" w:rsidRDefault="003E62E4" w:rsidP="003E62E4">
      <w:pPr>
        <w:spacing w:line="480" w:lineRule="auto"/>
        <w:jc w:val="center"/>
        <w:rPr>
          <w:rFonts w:ascii="Times New Roman" w:hAnsi="Times New Roman" w:cs="Times New Roman"/>
          <w:b/>
          <w:sz w:val="24"/>
          <w:szCs w:val="24"/>
        </w:rPr>
      </w:pPr>
    </w:p>
    <w:p w:rsidR="003E62E4" w:rsidRDefault="003E62E4" w:rsidP="003E62E4">
      <w:pPr>
        <w:spacing w:line="480" w:lineRule="auto"/>
        <w:jc w:val="center"/>
        <w:rPr>
          <w:rFonts w:ascii="Times New Roman" w:hAnsi="Times New Roman" w:cs="Times New Roman"/>
          <w:b/>
          <w:sz w:val="24"/>
          <w:szCs w:val="24"/>
        </w:rPr>
      </w:pPr>
    </w:p>
    <w:p w:rsidR="003E62E4" w:rsidRDefault="003E62E4" w:rsidP="003E62E4">
      <w:pPr>
        <w:spacing w:line="480" w:lineRule="auto"/>
        <w:jc w:val="center"/>
        <w:rPr>
          <w:rFonts w:ascii="Times New Roman" w:hAnsi="Times New Roman" w:cs="Times New Roman"/>
          <w:b/>
          <w:sz w:val="24"/>
          <w:szCs w:val="24"/>
        </w:rPr>
      </w:pPr>
    </w:p>
    <w:p w:rsidR="006D2F34" w:rsidRDefault="006D2F34" w:rsidP="001743F3">
      <w:pPr>
        <w:pStyle w:val="NormalWeb"/>
        <w:spacing w:before="0" w:beforeAutospacing="0" w:after="0" w:afterAutospacing="0" w:line="480" w:lineRule="auto"/>
        <w:jc w:val="center"/>
        <w:rPr>
          <w:b/>
          <w:color w:val="0E101A"/>
        </w:rPr>
      </w:pPr>
    </w:p>
    <w:p w:rsidR="006D2F34" w:rsidRDefault="006D2F34" w:rsidP="001743F3">
      <w:pPr>
        <w:pStyle w:val="NormalWeb"/>
        <w:spacing w:before="0" w:beforeAutospacing="0" w:after="0" w:afterAutospacing="0" w:line="480" w:lineRule="auto"/>
        <w:jc w:val="center"/>
        <w:rPr>
          <w:b/>
          <w:color w:val="0E101A"/>
        </w:rPr>
      </w:pPr>
    </w:p>
    <w:p w:rsidR="006D2F34" w:rsidRDefault="006D2F34" w:rsidP="001743F3">
      <w:pPr>
        <w:pStyle w:val="NormalWeb"/>
        <w:spacing w:before="0" w:beforeAutospacing="0" w:after="0" w:afterAutospacing="0" w:line="480" w:lineRule="auto"/>
        <w:jc w:val="center"/>
        <w:rPr>
          <w:b/>
          <w:color w:val="0E101A"/>
        </w:rPr>
      </w:pPr>
    </w:p>
    <w:p w:rsidR="006D2F34" w:rsidRDefault="006D2F34" w:rsidP="001743F3">
      <w:pPr>
        <w:pStyle w:val="NormalWeb"/>
        <w:spacing w:before="0" w:beforeAutospacing="0" w:after="0" w:afterAutospacing="0" w:line="480" w:lineRule="auto"/>
        <w:jc w:val="center"/>
        <w:rPr>
          <w:b/>
          <w:color w:val="0E101A"/>
        </w:rPr>
      </w:pPr>
    </w:p>
    <w:p w:rsidR="006D2F34" w:rsidRDefault="006D2F34" w:rsidP="001743F3">
      <w:pPr>
        <w:pStyle w:val="NormalWeb"/>
        <w:spacing w:before="0" w:beforeAutospacing="0" w:after="0" w:afterAutospacing="0" w:line="480" w:lineRule="auto"/>
        <w:jc w:val="center"/>
        <w:rPr>
          <w:b/>
          <w:color w:val="0E101A"/>
        </w:rPr>
      </w:pPr>
    </w:p>
    <w:p w:rsidR="006D2F34" w:rsidRDefault="006D2F34" w:rsidP="001743F3">
      <w:pPr>
        <w:pStyle w:val="NormalWeb"/>
        <w:spacing w:before="0" w:beforeAutospacing="0" w:after="0" w:afterAutospacing="0" w:line="480" w:lineRule="auto"/>
        <w:jc w:val="center"/>
        <w:rPr>
          <w:b/>
          <w:color w:val="0E101A"/>
        </w:rPr>
      </w:pPr>
    </w:p>
    <w:p w:rsidR="006D2F34" w:rsidRDefault="006D2F34" w:rsidP="003E62E4">
      <w:pPr>
        <w:pStyle w:val="NormalWeb"/>
        <w:spacing w:before="0" w:beforeAutospacing="0" w:after="0" w:afterAutospacing="0" w:line="480" w:lineRule="auto"/>
        <w:rPr>
          <w:b/>
          <w:color w:val="0E101A"/>
        </w:rPr>
      </w:pPr>
    </w:p>
    <w:p w:rsidR="003E62E4" w:rsidRDefault="003E62E4" w:rsidP="003E62E4">
      <w:pPr>
        <w:pStyle w:val="NormalWeb"/>
        <w:spacing w:before="0" w:beforeAutospacing="0" w:after="0" w:afterAutospacing="0" w:line="480" w:lineRule="auto"/>
        <w:rPr>
          <w:b/>
          <w:color w:val="0E101A"/>
        </w:rPr>
      </w:pPr>
    </w:p>
    <w:p w:rsidR="001743F3" w:rsidRPr="001743F3" w:rsidRDefault="001743F3" w:rsidP="001743F3">
      <w:pPr>
        <w:pStyle w:val="NormalWeb"/>
        <w:spacing w:before="0" w:beforeAutospacing="0" w:after="0" w:afterAutospacing="0" w:line="480" w:lineRule="auto"/>
        <w:jc w:val="center"/>
        <w:rPr>
          <w:b/>
          <w:color w:val="0E101A"/>
        </w:rPr>
      </w:pPr>
      <w:r w:rsidRPr="001743F3">
        <w:rPr>
          <w:b/>
          <w:color w:val="0E101A"/>
        </w:rPr>
        <w:lastRenderedPageBreak/>
        <w:t>Adolescent Development</w:t>
      </w:r>
    </w:p>
    <w:p w:rsidR="001743F3" w:rsidRPr="001743F3" w:rsidRDefault="001743F3" w:rsidP="001743F3">
      <w:pPr>
        <w:pStyle w:val="NormalWeb"/>
        <w:spacing w:before="0" w:beforeAutospacing="0" w:after="0" w:afterAutospacing="0" w:line="480" w:lineRule="auto"/>
        <w:jc w:val="center"/>
        <w:rPr>
          <w:b/>
          <w:color w:val="0E101A"/>
        </w:rPr>
      </w:pPr>
      <w:r w:rsidRPr="001743F3">
        <w:rPr>
          <w:b/>
          <w:color w:val="0E101A"/>
        </w:rPr>
        <w:t>Introduction</w:t>
      </w:r>
    </w:p>
    <w:p w:rsidR="001743F3" w:rsidRPr="001743F3" w:rsidRDefault="001743F3" w:rsidP="00AE034B">
      <w:pPr>
        <w:pStyle w:val="NormalWeb"/>
        <w:spacing w:before="0" w:beforeAutospacing="0" w:after="0" w:afterAutospacing="0" w:line="480" w:lineRule="auto"/>
        <w:ind w:firstLine="720"/>
        <w:rPr>
          <w:color w:val="0E101A"/>
        </w:rPr>
      </w:pPr>
      <w:r w:rsidRPr="001743F3">
        <w:rPr>
          <w:color w:val="0E101A"/>
        </w:rPr>
        <w:t>Adolescent development is the transition between childhood and adult period characterized by many changes. The period has specific health and development needs that call for the development of skills</w:t>
      </w:r>
      <w:r w:rsidR="00DC1780">
        <w:rPr>
          <w:color w:val="0E101A"/>
        </w:rPr>
        <w:t xml:space="preserve"> and knowledge and also </w:t>
      </w:r>
      <w:r w:rsidRPr="001743F3">
        <w:rPr>
          <w:color w:val="0E101A"/>
        </w:rPr>
        <w:t>abilities and aspects essential for enjoying adolescent years and undertaking adult roles (Deater-Deckard et al., 2019). Limitation of low- income youth is a major issue in adolescent develop</w:t>
      </w:r>
      <w:r w:rsidR="00DC1780">
        <w:rPr>
          <w:color w:val="0E101A"/>
        </w:rPr>
        <w:t>ment that is likely to lead to</w:t>
      </w:r>
      <w:r w:rsidRPr="001743F3">
        <w:rPr>
          <w:color w:val="0E101A"/>
        </w:rPr>
        <w:t xml:space="preserve"> negative outcomes among the youth. Low-income youth in adolescence risk education failure and lack of motivation for achievement (Sitnick et al., 2017). In light of the limitation of low-income youth, the paper summarizes the findings of the article titled "Money, Peers and Parents: Social and Economic Aspects of Inequality in Youth Wellbeing" and its relation to adolescent development.</w:t>
      </w:r>
    </w:p>
    <w:p w:rsidR="001743F3" w:rsidRPr="001743F3" w:rsidRDefault="001743F3" w:rsidP="00AE034B">
      <w:pPr>
        <w:pStyle w:val="NormalWeb"/>
        <w:spacing w:before="0" w:beforeAutospacing="0" w:after="0" w:afterAutospacing="0" w:line="480" w:lineRule="auto"/>
        <w:ind w:firstLine="720"/>
        <w:jc w:val="center"/>
        <w:rPr>
          <w:b/>
          <w:color w:val="0E101A"/>
        </w:rPr>
      </w:pPr>
      <w:r w:rsidRPr="001743F3">
        <w:rPr>
          <w:b/>
          <w:color w:val="0E101A"/>
        </w:rPr>
        <w:t>Summary of Findings</w:t>
      </w:r>
    </w:p>
    <w:p w:rsidR="001743F3" w:rsidRPr="001743F3" w:rsidRDefault="001743F3" w:rsidP="00AE034B">
      <w:pPr>
        <w:pStyle w:val="NormalWeb"/>
        <w:spacing w:before="0" w:beforeAutospacing="0" w:after="0" w:afterAutospacing="0" w:line="480" w:lineRule="auto"/>
        <w:ind w:firstLine="720"/>
        <w:rPr>
          <w:color w:val="0E101A"/>
        </w:rPr>
      </w:pPr>
      <w:r w:rsidRPr="001743F3">
        <w:rPr>
          <w:color w:val="0E101A"/>
        </w:rPr>
        <w:t>The authors, Stephanie and Carina Mood, focus on understanding the economic and social traits behind health differences in adolescent development. Arguably, these health elements are important. Although the evidence on the social and financial status in adolescent health is unpredictable, it is evident that youth</w:t>
      </w:r>
      <w:r w:rsidR="00DC1780">
        <w:rPr>
          <w:color w:val="0E101A"/>
        </w:rPr>
        <w:t>s</w:t>
      </w:r>
      <w:r w:rsidRPr="001743F3">
        <w:rPr>
          <w:color w:val="0E101A"/>
        </w:rPr>
        <w:t xml:space="preserve"> start developing their independence and developing status positions among peers. Notably, the authors developed their study to examine social and economic health inequalities and applied youth-oriented and multidimensional approach (Plenty &amp; Mood, 2016). The authors carried out a study whose main objective was to understand the disparities in adolescents' health, considering both parents and youth's socioeconomic status. It is argued that adolescent development is marked by youth growing independence from parents. The study aimed to comprehensively measure the socioeconomic level by examining family income, occupational status, and education. These levels examined in </w:t>
      </w:r>
      <w:r w:rsidRPr="001743F3">
        <w:rPr>
          <w:color w:val="0E101A"/>
        </w:rPr>
        <w:lastRenderedPageBreak/>
        <w:t>the study present a flattering understanding of the youth, including their emotional and general health. Emotional indications are prevalent among adolescent youth, and it is essential in the study due to its increased risk for future complications in educational performance. The authors argue that family social, economic status, and adolescent health is associated with theoretical reasons that are conclusive. Adolescent development is a transitional period, and youth are predictable to express an independent association beyond the family's socioeconomic status. The teens' access to economic resources influences daily living and the probability of taking part in meaningful activities. The study is relevant because the youth's social understanding and better peer status are reflected in school hierarchies (Plenty &amp; Mood, 2016).</w:t>
      </w:r>
    </w:p>
    <w:p w:rsidR="001743F3" w:rsidRPr="001743F3" w:rsidRDefault="001743F3" w:rsidP="00AE034B">
      <w:pPr>
        <w:pStyle w:val="NormalWeb"/>
        <w:spacing w:before="0" w:beforeAutospacing="0" w:after="0" w:afterAutospacing="0" w:line="480" w:lineRule="auto"/>
        <w:ind w:firstLine="720"/>
        <w:rPr>
          <w:color w:val="0E101A"/>
        </w:rPr>
      </w:pPr>
      <w:r w:rsidRPr="001743F3">
        <w:rPr>
          <w:color w:val="0E101A"/>
        </w:rPr>
        <w:t xml:space="preserve">The study examined the impact of family socioeconomic </w:t>
      </w:r>
      <w:r w:rsidR="002C00E8" w:rsidRPr="001743F3">
        <w:rPr>
          <w:color w:val="0E101A"/>
        </w:rPr>
        <w:t>status;</w:t>
      </w:r>
      <w:r w:rsidRPr="001743F3">
        <w:rPr>
          <w:color w:val="0E101A"/>
        </w:rPr>
        <w:t xml:space="preserve"> a representative sample of 14-year-old Swedish models based on peer status, youth economic resources, and self-rated health. The study data was collected from the Youth Europe study funded by a longitudinal and cross-national project, concentrating on the social and structural features of youth living in settings that are essential for integration in adolescent development. The survey analyzed a sample comprised of 5025 youths aged roughly 14 years from 251 classes in 129 schools (Plenty &amp; Mood, 2016). The data from several schools were collected using a two-step collection sampling. The schools selected also had a high percentage of immigrant youth, and each school had two classes invited to participate. The selected student completed self-report questionnaires and tests. During lesson time, it took approximately 80 minutes to complete the survey. The random participation was voluntary, and responses were anonymous. The data that was used to generate social and economic status that was family-based was obtained from website registers about the population available for the public (Plenty &amp; Mood, 2016).</w:t>
      </w:r>
    </w:p>
    <w:p w:rsidR="00DC1780" w:rsidRDefault="00DC1780" w:rsidP="00AE034B">
      <w:pPr>
        <w:pStyle w:val="NormalWeb"/>
        <w:spacing w:before="0" w:beforeAutospacing="0" w:after="0" w:afterAutospacing="0" w:line="480" w:lineRule="auto"/>
        <w:ind w:firstLine="720"/>
        <w:jc w:val="center"/>
        <w:rPr>
          <w:b/>
          <w:color w:val="0E101A"/>
        </w:rPr>
      </w:pPr>
    </w:p>
    <w:p w:rsidR="001743F3" w:rsidRPr="001743F3" w:rsidRDefault="004378D0" w:rsidP="00AE034B">
      <w:pPr>
        <w:pStyle w:val="NormalWeb"/>
        <w:spacing w:before="0" w:beforeAutospacing="0" w:after="0" w:afterAutospacing="0" w:line="480" w:lineRule="auto"/>
        <w:ind w:firstLine="720"/>
        <w:jc w:val="center"/>
        <w:rPr>
          <w:b/>
          <w:color w:val="0E101A"/>
        </w:rPr>
      </w:pPr>
      <w:r>
        <w:rPr>
          <w:b/>
          <w:color w:val="0E101A"/>
        </w:rPr>
        <w:lastRenderedPageBreak/>
        <w:t>Relation to Course M</w:t>
      </w:r>
      <w:r w:rsidR="001743F3" w:rsidRPr="001743F3">
        <w:rPr>
          <w:b/>
          <w:color w:val="0E101A"/>
        </w:rPr>
        <w:t>aterial</w:t>
      </w:r>
    </w:p>
    <w:p w:rsidR="001743F3" w:rsidRPr="001743F3" w:rsidRDefault="001743F3" w:rsidP="00AE034B">
      <w:pPr>
        <w:pStyle w:val="NormalWeb"/>
        <w:spacing w:before="0" w:beforeAutospacing="0" w:after="0" w:afterAutospacing="0" w:line="480" w:lineRule="auto"/>
        <w:ind w:firstLine="720"/>
        <w:rPr>
          <w:color w:val="0E101A"/>
        </w:rPr>
      </w:pPr>
      <w:r w:rsidRPr="001743F3">
        <w:rPr>
          <w:color w:val="0E101A"/>
        </w:rPr>
        <w:t xml:space="preserve">The study in the article affirms that the adolescence stage signifies a period of equalization in health. Therefore, the impact of family on youth's socioeconomic status weakens as they get exposed to other influences and become more independent. Findings for socioeconomic status indicated that income was the aspect of family status that consistently mattered for youth health. The higher occupational level is connected with more problems when controlling the youth's economic resources. Economic stress among the youth translated to more psychosomatic symptoms during adolescent development (Deater-Deckard et al., 2019). Low income among the youth may not confer respect and prestige in an obvious manner because economic resources are observable on material possessions. The study can be interpreted to affirm that adolescents with high socioeconomic status are faced with greater risks of emotional problems compared to low-income youths. Findings for youths' economic situation from the study displayed substantial relations with self-rated health and internalizing symptoms. Therefore, the lack of resources to sustain life at par with peers is more significant to adolescent wellbeing. </w:t>
      </w:r>
      <w:r w:rsidR="002C00E8" w:rsidRPr="001743F3">
        <w:rPr>
          <w:color w:val="0E101A"/>
        </w:rPr>
        <w:t>Contemporary theories of poverty suggest that wealth in societies matter</w:t>
      </w:r>
      <w:r w:rsidR="002C00E8">
        <w:rPr>
          <w:color w:val="0E101A"/>
        </w:rPr>
        <w:t>s significantly a</w:t>
      </w:r>
      <w:r w:rsidR="002C00E8" w:rsidRPr="001743F3">
        <w:rPr>
          <w:color w:val="0E101A"/>
        </w:rPr>
        <w:t xml:space="preserve">nd brings about the ability to live a lifestyle encouraged or approved by peers in the community (Sitnick et al., 2017). </w:t>
      </w:r>
      <w:r w:rsidRPr="001743F3">
        <w:rPr>
          <w:color w:val="0E101A"/>
        </w:rPr>
        <w:t>Therefore the finding in the article seems to be consistent with the theory. The study confirms that resources allow engagement and communication with one's peers in adolescence, which is significant because social integration is relevant to health and wellbeing.</w:t>
      </w:r>
    </w:p>
    <w:p w:rsidR="001743F3" w:rsidRPr="001743F3" w:rsidRDefault="001743F3" w:rsidP="00AE034B">
      <w:pPr>
        <w:pStyle w:val="NormalWeb"/>
        <w:spacing w:before="0" w:beforeAutospacing="0" w:after="0" w:afterAutospacing="0" w:line="480" w:lineRule="auto"/>
        <w:ind w:firstLine="720"/>
        <w:jc w:val="center"/>
        <w:rPr>
          <w:b/>
          <w:color w:val="0E101A"/>
        </w:rPr>
      </w:pPr>
      <w:r w:rsidRPr="001743F3">
        <w:rPr>
          <w:b/>
          <w:color w:val="0E101A"/>
        </w:rPr>
        <w:t>Conclusion</w:t>
      </w:r>
    </w:p>
    <w:p w:rsidR="001743F3" w:rsidRPr="001743F3" w:rsidRDefault="002C00E8" w:rsidP="00AE034B">
      <w:pPr>
        <w:pStyle w:val="NormalWeb"/>
        <w:spacing w:before="0" w:beforeAutospacing="0" w:after="0" w:afterAutospacing="0" w:line="480" w:lineRule="auto"/>
        <w:ind w:firstLine="720"/>
        <w:rPr>
          <w:color w:val="0E101A"/>
        </w:rPr>
      </w:pPr>
      <w:r w:rsidRPr="001743F3">
        <w:rPr>
          <w:color w:val="0E101A"/>
        </w:rPr>
        <w:t>In conclusio</w:t>
      </w:r>
      <w:r>
        <w:rPr>
          <w:color w:val="0E101A"/>
        </w:rPr>
        <w:t>n, adolescent development is fundamental</w:t>
      </w:r>
      <w:r w:rsidRPr="001743F3">
        <w:rPr>
          <w:color w:val="0E101A"/>
        </w:rPr>
        <w:t xml:space="preserve"> for shaping future health, and one of the key determinants of this stage is the socioeconomic status in which adolesc</w:t>
      </w:r>
      <w:r>
        <w:rPr>
          <w:color w:val="0E101A"/>
        </w:rPr>
        <w:t xml:space="preserve">ents grow. </w:t>
      </w:r>
      <w:r w:rsidR="00DC1780">
        <w:rPr>
          <w:color w:val="0E101A"/>
        </w:rPr>
        <w:lastRenderedPageBreak/>
        <w:t xml:space="preserve">Protecting the youths </w:t>
      </w:r>
      <w:r w:rsidR="001743F3" w:rsidRPr="001743F3">
        <w:rPr>
          <w:color w:val="0E101A"/>
        </w:rPr>
        <w:t>during the adolescent development stage from adverse social and economic inequalit</w:t>
      </w:r>
      <w:r w:rsidR="00DC1780">
        <w:rPr>
          <w:color w:val="0E101A"/>
        </w:rPr>
        <w:t>ies is an important suggestion as i</w:t>
      </w:r>
      <w:r w:rsidR="001743F3" w:rsidRPr="001743F3">
        <w:rPr>
          <w:color w:val="0E101A"/>
        </w:rPr>
        <w:t>t helps reduce future health difficulties. The findings of the article demonstrated that health inequalities amongst the youth based on the income of families are evident, and at the same time, it is relevant to social position within peers. Economic status matter for wellbeing during adolescent development. Low income among the youth may impact social participation and reduce the impact of social integration; therefore, interventions targeting the youth are important to reduce health inequalities. Future researchers on adolescent development can come closer to a causal conclusion by employing longitudinal designs that would examine the compounding effects from increasing exposure to low socioeconomic levels among adolescents.</w:t>
      </w:r>
    </w:p>
    <w:p w:rsidR="001743F3" w:rsidRPr="001743F3" w:rsidRDefault="001743F3" w:rsidP="00AE034B">
      <w:pPr>
        <w:pStyle w:val="NormalWeb"/>
        <w:spacing w:before="0" w:beforeAutospacing="0" w:after="0" w:afterAutospacing="0" w:line="480" w:lineRule="auto"/>
        <w:ind w:firstLine="720"/>
        <w:rPr>
          <w:color w:val="0E101A"/>
        </w:rPr>
      </w:pPr>
    </w:p>
    <w:p w:rsidR="001743F3" w:rsidRPr="001743F3" w:rsidRDefault="001743F3" w:rsidP="001743F3">
      <w:pPr>
        <w:pStyle w:val="NormalWeb"/>
        <w:spacing w:before="0" w:beforeAutospacing="0" w:after="0" w:afterAutospacing="0" w:line="480" w:lineRule="auto"/>
        <w:rPr>
          <w:color w:val="0E101A"/>
        </w:rPr>
      </w:pPr>
    </w:p>
    <w:p w:rsidR="001743F3" w:rsidRPr="001743F3" w:rsidRDefault="001743F3" w:rsidP="001743F3">
      <w:pPr>
        <w:pStyle w:val="NormalWeb"/>
        <w:spacing w:before="0" w:beforeAutospacing="0" w:after="0" w:afterAutospacing="0" w:line="480" w:lineRule="auto"/>
        <w:rPr>
          <w:color w:val="0E101A"/>
        </w:rPr>
      </w:pPr>
    </w:p>
    <w:p w:rsidR="001743F3" w:rsidRPr="001743F3" w:rsidRDefault="001743F3" w:rsidP="001743F3">
      <w:pPr>
        <w:pStyle w:val="NormalWeb"/>
        <w:spacing w:before="0" w:beforeAutospacing="0" w:after="0" w:afterAutospacing="0" w:line="480" w:lineRule="auto"/>
        <w:rPr>
          <w:color w:val="0E101A"/>
        </w:rPr>
      </w:pPr>
    </w:p>
    <w:p w:rsidR="001743F3" w:rsidRPr="001743F3" w:rsidRDefault="001743F3" w:rsidP="001743F3">
      <w:pPr>
        <w:pStyle w:val="NormalWeb"/>
        <w:spacing w:before="0" w:beforeAutospacing="0" w:after="0" w:afterAutospacing="0" w:line="480" w:lineRule="auto"/>
        <w:rPr>
          <w:color w:val="0E101A"/>
        </w:rPr>
      </w:pPr>
    </w:p>
    <w:p w:rsidR="001743F3" w:rsidRPr="001743F3" w:rsidRDefault="001743F3" w:rsidP="001743F3">
      <w:pPr>
        <w:pStyle w:val="NormalWeb"/>
        <w:spacing w:before="0" w:beforeAutospacing="0" w:after="0" w:afterAutospacing="0" w:line="480" w:lineRule="auto"/>
        <w:rPr>
          <w:color w:val="0E101A"/>
        </w:rPr>
      </w:pPr>
    </w:p>
    <w:p w:rsidR="001743F3" w:rsidRPr="001743F3" w:rsidRDefault="001743F3" w:rsidP="001743F3">
      <w:pPr>
        <w:pStyle w:val="NormalWeb"/>
        <w:spacing w:before="0" w:beforeAutospacing="0" w:after="0" w:afterAutospacing="0" w:line="480" w:lineRule="auto"/>
        <w:rPr>
          <w:color w:val="0E101A"/>
        </w:rPr>
      </w:pPr>
    </w:p>
    <w:p w:rsidR="001743F3" w:rsidRPr="001743F3" w:rsidRDefault="001743F3" w:rsidP="001743F3">
      <w:pPr>
        <w:pStyle w:val="NormalWeb"/>
        <w:spacing w:before="0" w:beforeAutospacing="0" w:after="0" w:afterAutospacing="0" w:line="480" w:lineRule="auto"/>
        <w:rPr>
          <w:color w:val="0E101A"/>
        </w:rPr>
      </w:pPr>
    </w:p>
    <w:p w:rsidR="001743F3" w:rsidRDefault="001743F3" w:rsidP="001743F3">
      <w:pPr>
        <w:pStyle w:val="NormalWeb"/>
        <w:spacing w:before="0" w:beforeAutospacing="0" w:after="0" w:afterAutospacing="0" w:line="480" w:lineRule="auto"/>
        <w:rPr>
          <w:rStyle w:val="Strong"/>
          <w:color w:val="0E101A"/>
        </w:rPr>
      </w:pPr>
    </w:p>
    <w:p w:rsidR="001743F3" w:rsidRDefault="001743F3" w:rsidP="001743F3">
      <w:pPr>
        <w:pStyle w:val="NormalWeb"/>
        <w:spacing w:before="0" w:beforeAutospacing="0" w:after="0" w:afterAutospacing="0" w:line="480" w:lineRule="auto"/>
        <w:rPr>
          <w:rStyle w:val="Strong"/>
          <w:color w:val="0E101A"/>
        </w:rPr>
      </w:pPr>
    </w:p>
    <w:p w:rsidR="001743F3" w:rsidRDefault="001743F3" w:rsidP="001743F3">
      <w:pPr>
        <w:pStyle w:val="NormalWeb"/>
        <w:spacing w:before="0" w:beforeAutospacing="0" w:after="0" w:afterAutospacing="0" w:line="480" w:lineRule="auto"/>
        <w:rPr>
          <w:rStyle w:val="Strong"/>
          <w:color w:val="0E101A"/>
        </w:rPr>
      </w:pPr>
    </w:p>
    <w:p w:rsidR="001743F3" w:rsidRDefault="001743F3" w:rsidP="001743F3">
      <w:pPr>
        <w:pStyle w:val="NormalWeb"/>
        <w:spacing w:before="0" w:beforeAutospacing="0" w:after="0" w:afterAutospacing="0" w:line="480" w:lineRule="auto"/>
        <w:rPr>
          <w:rStyle w:val="Strong"/>
          <w:color w:val="0E101A"/>
        </w:rPr>
      </w:pPr>
    </w:p>
    <w:p w:rsidR="001743F3" w:rsidRDefault="001743F3" w:rsidP="001743F3">
      <w:pPr>
        <w:pStyle w:val="NormalWeb"/>
        <w:spacing w:before="0" w:beforeAutospacing="0" w:after="0" w:afterAutospacing="0" w:line="480" w:lineRule="auto"/>
        <w:rPr>
          <w:rStyle w:val="Strong"/>
          <w:color w:val="0E101A"/>
        </w:rPr>
      </w:pPr>
    </w:p>
    <w:p w:rsidR="001743F3" w:rsidRDefault="001743F3" w:rsidP="001743F3">
      <w:pPr>
        <w:pStyle w:val="NormalWeb"/>
        <w:spacing w:before="0" w:beforeAutospacing="0" w:after="0" w:afterAutospacing="0" w:line="480" w:lineRule="auto"/>
        <w:rPr>
          <w:rStyle w:val="Strong"/>
          <w:color w:val="0E101A"/>
        </w:rPr>
      </w:pPr>
    </w:p>
    <w:p w:rsidR="001743F3" w:rsidRPr="001743F3" w:rsidRDefault="001743F3" w:rsidP="001743F3">
      <w:pPr>
        <w:pStyle w:val="NormalWeb"/>
        <w:spacing w:before="0" w:beforeAutospacing="0" w:after="0" w:afterAutospacing="0" w:line="480" w:lineRule="auto"/>
        <w:jc w:val="center"/>
        <w:rPr>
          <w:color w:val="0E101A"/>
        </w:rPr>
      </w:pPr>
      <w:r w:rsidRPr="001743F3">
        <w:rPr>
          <w:rStyle w:val="Strong"/>
          <w:color w:val="0E101A"/>
        </w:rPr>
        <w:t>References</w:t>
      </w:r>
    </w:p>
    <w:p w:rsidR="001743F3" w:rsidRPr="001743F3" w:rsidRDefault="001743F3" w:rsidP="001743F3">
      <w:pPr>
        <w:pStyle w:val="NormalWeb"/>
        <w:spacing w:before="0" w:beforeAutospacing="0" w:after="0" w:afterAutospacing="0" w:line="480" w:lineRule="auto"/>
        <w:ind w:left="720" w:hanging="720"/>
        <w:rPr>
          <w:color w:val="0E101A"/>
        </w:rPr>
      </w:pPr>
      <w:r w:rsidRPr="001743F3">
        <w:rPr>
          <w:color w:val="0E101A"/>
        </w:rPr>
        <w:t>Deater-Deckard, K., Li, M., Lee, J., King-Casas, B., &amp; Kim-Spoon, J. (2019). Poverty and puberty: a neurocognitive study of inhibitory control in the transition to adolescence. </w:t>
      </w:r>
      <w:r w:rsidRPr="001743F3">
        <w:rPr>
          <w:rStyle w:val="Emphasis"/>
          <w:color w:val="0E101A"/>
        </w:rPr>
        <w:t>Psychological science</w:t>
      </w:r>
      <w:r w:rsidRPr="001743F3">
        <w:rPr>
          <w:color w:val="0E101A"/>
        </w:rPr>
        <w:t>, </w:t>
      </w:r>
      <w:r w:rsidRPr="001743F3">
        <w:rPr>
          <w:rStyle w:val="Emphasis"/>
          <w:color w:val="0E101A"/>
        </w:rPr>
        <w:t>30</w:t>
      </w:r>
      <w:r w:rsidRPr="001743F3">
        <w:rPr>
          <w:color w:val="0E101A"/>
        </w:rPr>
        <w:t>(11), 1573-1583.</w:t>
      </w:r>
    </w:p>
    <w:p w:rsidR="001743F3" w:rsidRPr="001743F3" w:rsidRDefault="001743F3" w:rsidP="001743F3">
      <w:pPr>
        <w:pStyle w:val="NormalWeb"/>
        <w:spacing w:before="0" w:beforeAutospacing="0" w:after="0" w:afterAutospacing="0" w:line="480" w:lineRule="auto"/>
        <w:ind w:left="720" w:hanging="720"/>
        <w:rPr>
          <w:color w:val="0E101A"/>
        </w:rPr>
      </w:pPr>
      <w:r w:rsidRPr="001743F3">
        <w:rPr>
          <w:color w:val="0E101A"/>
        </w:rPr>
        <w:t>Plenty, S., &amp; Mood, C. (2016). Money, peers and parents: social and economic aspects of inequality in youth wellbeing. </w:t>
      </w:r>
      <w:r w:rsidRPr="001743F3">
        <w:rPr>
          <w:rStyle w:val="Emphasis"/>
          <w:color w:val="0E101A"/>
        </w:rPr>
        <w:t>Journal of Youth and Adolescence</w:t>
      </w:r>
      <w:r w:rsidRPr="001743F3">
        <w:rPr>
          <w:color w:val="0E101A"/>
        </w:rPr>
        <w:t>, </w:t>
      </w:r>
      <w:r w:rsidRPr="001743F3">
        <w:rPr>
          <w:rStyle w:val="Emphasis"/>
          <w:color w:val="0E101A"/>
        </w:rPr>
        <w:t>45</w:t>
      </w:r>
      <w:r w:rsidRPr="001743F3">
        <w:rPr>
          <w:color w:val="0E101A"/>
        </w:rPr>
        <w:t>(7), 1294-1308. Retrieved from: </w:t>
      </w:r>
      <w:hyperlink r:id="rId6" w:tgtFrame="_blank" w:history="1">
        <w:r w:rsidRPr="001743F3">
          <w:rPr>
            <w:rStyle w:val="Hyperlink"/>
            <w:color w:val="4A6EE0"/>
          </w:rPr>
          <w:t>https://link.springer.com/article/10.1007/s10964-016-0430-5</w:t>
        </w:r>
      </w:hyperlink>
      <w:r w:rsidRPr="001743F3">
        <w:rPr>
          <w:color w:val="0E101A"/>
        </w:rPr>
        <w:t> </w:t>
      </w:r>
    </w:p>
    <w:p w:rsidR="001743F3" w:rsidRPr="001743F3" w:rsidRDefault="001743F3" w:rsidP="001743F3">
      <w:pPr>
        <w:pStyle w:val="NormalWeb"/>
        <w:spacing w:before="0" w:beforeAutospacing="0" w:after="0" w:afterAutospacing="0" w:line="480" w:lineRule="auto"/>
        <w:ind w:left="720" w:hanging="720"/>
        <w:rPr>
          <w:color w:val="0E101A"/>
        </w:rPr>
      </w:pPr>
      <w:r w:rsidRPr="001743F3">
        <w:rPr>
          <w:color w:val="0E101A"/>
        </w:rPr>
        <w:t xml:space="preserve">Sitnick, S. L., Shaw, D. S., Weaver, C. M., Shelleby, E. C., Choe, D. E., Reuben, J. D., ... &amp;Taraban, L. </w:t>
      </w:r>
      <w:bookmarkStart w:id="0" w:name="_GoBack"/>
      <w:bookmarkEnd w:id="0"/>
      <w:r w:rsidRPr="001743F3">
        <w:rPr>
          <w:color w:val="0E101A"/>
        </w:rPr>
        <w:t>(2017). Early childhood predictors of severe youth violence in low‐income male adolescents. </w:t>
      </w:r>
      <w:r w:rsidRPr="001743F3">
        <w:rPr>
          <w:rStyle w:val="Emphasis"/>
          <w:color w:val="0E101A"/>
        </w:rPr>
        <w:t>Child development</w:t>
      </w:r>
      <w:r w:rsidRPr="001743F3">
        <w:rPr>
          <w:color w:val="0E101A"/>
        </w:rPr>
        <w:t>, </w:t>
      </w:r>
      <w:r w:rsidRPr="001743F3">
        <w:rPr>
          <w:rStyle w:val="Emphasis"/>
          <w:color w:val="0E101A"/>
        </w:rPr>
        <w:t>88</w:t>
      </w:r>
      <w:r w:rsidRPr="001743F3">
        <w:rPr>
          <w:color w:val="0E101A"/>
        </w:rPr>
        <w:t>(1), 27-40.</w:t>
      </w:r>
    </w:p>
    <w:sectPr w:rsidR="001743F3" w:rsidRPr="001743F3" w:rsidSect="00090C7C">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F3F19" w:rsidRDefault="006F3F19" w:rsidP="00AE034B">
      <w:pPr>
        <w:spacing w:after="0" w:line="240" w:lineRule="auto"/>
      </w:pPr>
      <w:r>
        <w:separator/>
      </w:r>
    </w:p>
  </w:endnote>
  <w:endnote w:type="continuationSeparator" w:id="1">
    <w:p w:rsidR="006F3F19" w:rsidRDefault="006F3F19" w:rsidP="00AE034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F3F19" w:rsidRDefault="006F3F19" w:rsidP="00AE034B">
      <w:pPr>
        <w:spacing w:after="0" w:line="240" w:lineRule="auto"/>
      </w:pPr>
      <w:r>
        <w:separator/>
      </w:r>
    </w:p>
  </w:footnote>
  <w:footnote w:type="continuationSeparator" w:id="1">
    <w:p w:rsidR="006F3F19" w:rsidRDefault="006F3F19" w:rsidP="00AE034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34B" w:rsidRPr="00AE034B" w:rsidRDefault="00AE034B">
    <w:pPr>
      <w:pStyle w:val="Header"/>
      <w:rPr>
        <w:rFonts w:ascii="Times New Roman" w:hAnsi="Times New Roman" w:cs="Times New Roman"/>
        <w:sz w:val="24"/>
        <w:szCs w:val="24"/>
      </w:rPr>
    </w:pPr>
    <w:r>
      <w:tab/>
    </w:r>
    <w:r>
      <w:tab/>
    </w:r>
    <w:r w:rsidR="00667242" w:rsidRPr="00AE034B">
      <w:rPr>
        <w:rFonts w:ascii="Times New Roman" w:hAnsi="Times New Roman" w:cs="Times New Roman"/>
        <w:sz w:val="24"/>
        <w:szCs w:val="24"/>
      </w:rPr>
      <w:fldChar w:fldCharType="begin"/>
    </w:r>
    <w:r w:rsidRPr="00AE034B">
      <w:rPr>
        <w:rFonts w:ascii="Times New Roman" w:hAnsi="Times New Roman" w:cs="Times New Roman"/>
        <w:sz w:val="24"/>
        <w:szCs w:val="24"/>
      </w:rPr>
      <w:instrText xml:space="preserve"> PAGE   \* MERGEFORMAT </w:instrText>
    </w:r>
    <w:r w:rsidR="00667242" w:rsidRPr="00AE034B">
      <w:rPr>
        <w:rFonts w:ascii="Times New Roman" w:hAnsi="Times New Roman" w:cs="Times New Roman"/>
        <w:sz w:val="24"/>
        <w:szCs w:val="24"/>
      </w:rPr>
      <w:fldChar w:fldCharType="separate"/>
    </w:r>
    <w:r w:rsidR="002C00E8">
      <w:rPr>
        <w:rFonts w:ascii="Times New Roman" w:hAnsi="Times New Roman" w:cs="Times New Roman"/>
        <w:noProof/>
        <w:sz w:val="24"/>
        <w:szCs w:val="24"/>
      </w:rPr>
      <w:t>1</w:t>
    </w:r>
    <w:r w:rsidR="00667242" w:rsidRPr="00AE034B">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defaultTabStop w:val="720"/>
  <w:characterSpacingControl w:val="doNotCompress"/>
  <w:footnotePr>
    <w:footnote w:id="0"/>
    <w:footnote w:id="1"/>
  </w:footnotePr>
  <w:endnotePr>
    <w:endnote w:id="0"/>
    <w:endnote w:id="1"/>
  </w:endnotePr>
  <w:compat/>
  <w:rsids>
    <w:rsidRoot w:val="003A7C66"/>
    <w:rsid w:val="0002169D"/>
    <w:rsid w:val="00027B1C"/>
    <w:rsid w:val="0009061C"/>
    <w:rsid w:val="00090C7C"/>
    <w:rsid w:val="000D7C5C"/>
    <w:rsid w:val="001743F3"/>
    <w:rsid w:val="00195D74"/>
    <w:rsid w:val="001C61BB"/>
    <w:rsid w:val="002C00E8"/>
    <w:rsid w:val="002C502B"/>
    <w:rsid w:val="002C7A78"/>
    <w:rsid w:val="00334E39"/>
    <w:rsid w:val="00336B74"/>
    <w:rsid w:val="00365633"/>
    <w:rsid w:val="00394D08"/>
    <w:rsid w:val="003A7C66"/>
    <w:rsid w:val="003C76B0"/>
    <w:rsid w:val="003E62E4"/>
    <w:rsid w:val="00421953"/>
    <w:rsid w:val="0043347C"/>
    <w:rsid w:val="004378D0"/>
    <w:rsid w:val="00467693"/>
    <w:rsid w:val="004A089F"/>
    <w:rsid w:val="005516C1"/>
    <w:rsid w:val="00567711"/>
    <w:rsid w:val="005B08AF"/>
    <w:rsid w:val="005D5119"/>
    <w:rsid w:val="00667242"/>
    <w:rsid w:val="006D2F34"/>
    <w:rsid w:val="006F19C1"/>
    <w:rsid w:val="006F3F19"/>
    <w:rsid w:val="0073479A"/>
    <w:rsid w:val="00823816"/>
    <w:rsid w:val="00830C47"/>
    <w:rsid w:val="008407B3"/>
    <w:rsid w:val="00904677"/>
    <w:rsid w:val="0094411B"/>
    <w:rsid w:val="00AB2258"/>
    <w:rsid w:val="00AE034B"/>
    <w:rsid w:val="00B00D8C"/>
    <w:rsid w:val="00B25345"/>
    <w:rsid w:val="00B47971"/>
    <w:rsid w:val="00B73AD7"/>
    <w:rsid w:val="00BD5606"/>
    <w:rsid w:val="00C93232"/>
    <w:rsid w:val="00CD6F52"/>
    <w:rsid w:val="00CD7FD2"/>
    <w:rsid w:val="00CF1A19"/>
    <w:rsid w:val="00CF1ABC"/>
    <w:rsid w:val="00CF5A5D"/>
    <w:rsid w:val="00D21E82"/>
    <w:rsid w:val="00D4544C"/>
    <w:rsid w:val="00D64D0F"/>
    <w:rsid w:val="00D6647F"/>
    <w:rsid w:val="00DB3CC4"/>
    <w:rsid w:val="00DB50F6"/>
    <w:rsid w:val="00DC1780"/>
    <w:rsid w:val="00DD253E"/>
    <w:rsid w:val="00DD39CA"/>
    <w:rsid w:val="00DE41DD"/>
    <w:rsid w:val="00DF4A5D"/>
    <w:rsid w:val="00E23122"/>
    <w:rsid w:val="00E33A2C"/>
    <w:rsid w:val="00E625AD"/>
    <w:rsid w:val="00E826E8"/>
    <w:rsid w:val="00EA49C6"/>
    <w:rsid w:val="00F11A7E"/>
    <w:rsid w:val="00F31A8B"/>
    <w:rsid w:val="00F37C93"/>
    <w:rsid w:val="00FC33B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0C7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A49C6"/>
    <w:rPr>
      <w:color w:val="0563C1" w:themeColor="hyperlink"/>
      <w:u w:val="single"/>
    </w:rPr>
  </w:style>
  <w:style w:type="paragraph" w:styleId="NormalWeb">
    <w:name w:val="Normal (Web)"/>
    <w:basedOn w:val="Normal"/>
    <w:uiPriority w:val="99"/>
    <w:unhideWhenUsed/>
    <w:rsid w:val="001743F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743F3"/>
    <w:rPr>
      <w:b/>
      <w:bCs/>
    </w:rPr>
  </w:style>
  <w:style w:type="character" w:styleId="Emphasis">
    <w:name w:val="Emphasis"/>
    <w:basedOn w:val="DefaultParagraphFont"/>
    <w:uiPriority w:val="20"/>
    <w:qFormat/>
    <w:rsid w:val="001743F3"/>
    <w:rPr>
      <w:i/>
      <w:iCs/>
    </w:rPr>
  </w:style>
  <w:style w:type="paragraph" w:styleId="Header">
    <w:name w:val="header"/>
    <w:basedOn w:val="Normal"/>
    <w:link w:val="HeaderChar"/>
    <w:uiPriority w:val="99"/>
    <w:unhideWhenUsed/>
    <w:rsid w:val="00AE03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034B"/>
  </w:style>
  <w:style w:type="paragraph" w:styleId="Footer">
    <w:name w:val="footer"/>
    <w:basedOn w:val="Normal"/>
    <w:link w:val="FooterChar"/>
    <w:uiPriority w:val="99"/>
    <w:unhideWhenUsed/>
    <w:rsid w:val="00AE03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034B"/>
  </w:style>
</w:styles>
</file>

<file path=word/webSettings.xml><?xml version="1.0" encoding="utf-8"?>
<w:webSettings xmlns:r="http://schemas.openxmlformats.org/officeDocument/2006/relationships" xmlns:w="http://schemas.openxmlformats.org/wordprocessingml/2006/main">
  <w:divs>
    <w:div w:id="867110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ink.springer.com/article/10.1007/s10964-016-0430-5"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1125</Words>
  <Characters>6416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7526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Kevin</cp:lastModifiedBy>
  <cp:revision>3</cp:revision>
  <dcterms:created xsi:type="dcterms:W3CDTF">2020-11-10T20:14:00Z</dcterms:created>
  <dcterms:modified xsi:type="dcterms:W3CDTF">2020-11-10T20:14:00Z</dcterms:modified>
</cp:coreProperties>
</file>