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F55BFB" w:rsidRDefault="00F55BFB" w:rsidP="00F55BFB">
      <w:pPr>
        <w:spacing w:line="480" w:lineRule="auto"/>
        <w:jc w:val="center"/>
        <w:rPr>
          <w:rFonts w:ascii="Times New Roman" w:hAnsi="Times New Roman"/>
          <w:sz w:val="24"/>
          <w:szCs w:val="24"/>
        </w:rPr>
      </w:pPr>
    </w:p>
    <w:p w:rsidR="00113A67" w:rsidRPr="00F55BFB" w:rsidRDefault="00F55BFB" w:rsidP="00F55BFB">
      <w:pPr>
        <w:spacing w:line="480" w:lineRule="auto"/>
        <w:jc w:val="center"/>
        <w:rPr>
          <w:rFonts w:ascii="Times New Roman" w:hAnsi="Times New Roman"/>
          <w:sz w:val="24"/>
          <w:szCs w:val="24"/>
        </w:rPr>
      </w:pPr>
      <w:r w:rsidRPr="00F55BFB">
        <w:rPr>
          <w:rFonts w:ascii="Times New Roman" w:hAnsi="Times New Roman"/>
          <w:sz w:val="24"/>
          <w:szCs w:val="24"/>
        </w:rPr>
        <w:t>Week 3 Aerosol Medication and Delivery Repository Assignment</w:t>
      </w:r>
    </w:p>
    <w:p w:rsidR="00113A67" w:rsidRPr="00F55BFB" w:rsidRDefault="00F55BFB" w:rsidP="00F55BFB">
      <w:pPr>
        <w:spacing w:line="480" w:lineRule="auto"/>
        <w:jc w:val="center"/>
        <w:rPr>
          <w:rFonts w:ascii="Times New Roman" w:hAnsi="Times New Roman"/>
          <w:sz w:val="24"/>
          <w:szCs w:val="24"/>
        </w:rPr>
      </w:pPr>
      <w:r>
        <w:rPr>
          <w:rFonts w:ascii="Times New Roman" w:hAnsi="Times New Roman"/>
          <w:sz w:val="24"/>
          <w:szCs w:val="24"/>
        </w:rPr>
        <w:t>Name</w:t>
      </w:r>
    </w:p>
    <w:p w:rsidR="00113A67" w:rsidRPr="00F55BFB" w:rsidRDefault="00F55BFB" w:rsidP="00F55BFB">
      <w:pPr>
        <w:spacing w:line="480" w:lineRule="auto"/>
        <w:jc w:val="center"/>
        <w:rPr>
          <w:rFonts w:ascii="Times New Roman" w:hAnsi="Times New Roman"/>
          <w:sz w:val="24"/>
          <w:szCs w:val="24"/>
        </w:rPr>
      </w:pPr>
      <w:r>
        <w:rPr>
          <w:rFonts w:ascii="Times New Roman" w:hAnsi="Times New Roman"/>
          <w:sz w:val="24"/>
          <w:szCs w:val="24"/>
        </w:rPr>
        <w:t>Institution</w:t>
      </w: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F55BFB" w:rsidRDefault="00F55BFB" w:rsidP="00F55BFB">
      <w:pPr>
        <w:spacing w:line="480" w:lineRule="auto"/>
        <w:rPr>
          <w:rFonts w:ascii="Times New Roman" w:hAnsi="Times New Roman"/>
          <w:b/>
          <w:bCs/>
          <w:sz w:val="24"/>
          <w:szCs w:val="24"/>
        </w:rPr>
      </w:pPr>
    </w:p>
    <w:p w:rsidR="00113A67" w:rsidRPr="00F55BFB" w:rsidRDefault="00F55BFB" w:rsidP="00F55BFB">
      <w:pPr>
        <w:spacing w:line="480" w:lineRule="auto"/>
        <w:rPr>
          <w:rFonts w:ascii="Times New Roman" w:hAnsi="Times New Roman"/>
          <w:sz w:val="24"/>
          <w:szCs w:val="24"/>
        </w:rPr>
      </w:pPr>
      <w:bookmarkStart w:id="0" w:name="_GoBack"/>
      <w:bookmarkEnd w:id="0"/>
      <w:r w:rsidRPr="00F55BFB">
        <w:rPr>
          <w:rFonts w:ascii="Times New Roman" w:hAnsi="Times New Roman"/>
          <w:b/>
          <w:bCs/>
          <w:sz w:val="24"/>
          <w:szCs w:val="24"/>
        </w:rPr>
        <w:lastRenderedPageBreak/>
        <w:t xml:space="preserve">Part </w:t>
      </w:r>
      <w:r w:rsidRPr="00F55BFB">
        <w:rPr>
          <w:rFonts w:ascii="Times New Roman" w:hAnsi="Times New Roman"/>
          <w:sz w:val="24"/>
          <w:szCs w:val="24"/>
        </w:rPr>
        <w:t>1</w:t>
      </w:r>
    </w:p>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Different researches have been conducted to determine if there is a difference in the level of efficiency depending on the delivery device. In a study by Myrna (2015), </w:t>
      </w:r>
      <w:r w:rsidRPr="00F55BFB">
        <w:rPr>
          <w:rFonts w:ascii="Times New Roman" w:hAnsi="Times New Roman"/>
          <w:sz w:val="24"/>
          <w:szCs w:val="24"/>
        </w:rPr>
        <w:t>it is argued that clinicians have difficulties choosing the best device for aerosol therapy. Based on the results of the study, there was no significant difference in the level of efficacy in all delivery devices used. The devices used in this case were eq</w:t>
      </w:r>
      <w:r w:rsidRPr="00F55BFB">
        <w:rPr>
          <w:rFonts w:ascii="Times New Roman" w:hAnsi="Times New Roman"/>
          <w:sz w:val="24"/>
          <w:szCs w:val="24"/>
        </w:rPr>
        <w:t xml:space="preserve">ually efficient and had minimal adverse effects. If the correct inhalation technique is used for each device, optimal outcomes were recorded. There are factors that would influence the choice of delivery device for giving </w:t>
      </w:r>
      <w:proofErr w:type="spellStart"/>
      <w:r w:rsidRPr="00F55BFB">
        <w:rPr>
          <w:rFonts w:ascii="Times New Roman" w:hAnsi="Times New Roman"/>
          <w:sz w:val="24"/>
          <w:szCs w:val="24"/>
        </w:rPr>
        <w:t>bronchodialtors</w:t>
      </w:r>
      <w:proofErr w:type="spellEnd"/>
      <w:r w:rsidRPr="00F55BFB">
        <w:rPr>
          <w:rFonts w:ascii="Times New Roman" w:hAnsi="Times New Roman"/>
          <w:sz w:val="24"/>
          <w:szCs w:val="24"/>
        </w:rPr>
        <w:t xml:space="preserve"> for both long and </w:t>
      </w:r>
      <w:r w:rsidRPr="00F55BFB">
        <w:rPr>
          <w:rFonts w:ascii="Times New Roman" w:hAnsi="Times New Roman"/>
          <w:sz w:val="24"/>
          <w:szCs w:val="24"/>
        </w:rPr>
        <w:t>short acting, including the availability of the drug and the device, the age of the patient, clinical settings, ability to use the device correctly, time of administering the drug, preferences of physicians and patients, cost and reimbursement, and ability</w:t>
      </w:r>
      <w:r w:rsidRPr="00F55BFB">
        <w:rPr>
          <w:rFonts w:ascii="Times New Roman" w:hAnsi="Times New Roman"/>
          <w:sz w:val="24"/>
          <w:szCs w:val="24"/>
        </w:rPr>
        <w:t xml:space="preserve"> to use one device for several medications.</w:t>
      </w:r>
    </w:p>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Part 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88"/>
        <w:gridCol w:w="4788"/>
      </w:tblGrid>
      <w:tr w:rsidR="00113A67" w:rsidRPr="00F55BFB">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Classifications</w:t>
            </w:r>
          </w:p>
        </w:tc>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 xml:space="preserve">Types of aerosol delivery devices </w:t>
            </w:r>
          </w:p>
        </w:tc>
      </w:tr>
      <w:tr w:rsidR="00113A67" w:rsidRPr="00F55BFB">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Small-volume nebulizer (SVN) </w:t>
            </w:r>
          </w:p>
        </w:tc>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Pneumatically powered nebulizers, ultrasonic nebulizer, and mesh nebulizer </w:t>
            </w:r>
          </w:p>
        </w:tc>
      </w:tr>
      <w:tr w:rsidR="00113A67" w:rsidRPr="00F55BFB">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pressurized metered-dose inhaler (</w:t>
            </w:r>
            <w:proofErr w:type="spellStart"/>
            <w:r w:rsidRPr="00F55BFB">
              <w:rPr>
                <w:rFonts w:ascii="Times New Roman" w:hAnsi="Times New Roman"/>
                <w:sz w:val="24"/>
                <w:szCs w:val="24"/>
              </w:rPr>
              <w:t>pMDI</w:t>
            </w:r>
            <w:proofErr w:type="spellEnd"/>
            <w:r w:rsidRPr="00F55BFB">
              <w:rPr>
                <w:rFonts w:ascii="Times New Roman" w:hAnsi="Times New Roman"/>
                <w:sz w:val="24"/>
                <w:szCs w:val="24"/>
              </w:rPr>
              <w:t>)</w:t>
            </w:r>
          </w:p>
        </w:tc>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Conven</w:t>
            </w:r>
            <w:r w:rsidRPr="00F55BFB">
              <w:rPr>
                <w:rFonts w:ascii="Times New Roman" w:hAnsi="Times New Roman"/>
                <w:sz w:val="24"/>
                <w:szCs w:val="24"/>
              </w:rPr>
              <w:t xml:space="preserve">tional </w:t>
            </w:r>
            <w:proofErr w:type="spellStart"/>
            <w:r w:rsidRPr="00F55BFB">
              <w:rPr>
                <w:rFonts w:ascii="Times New Roman" w:hAnsi="Times New Roman"/>
                <w:sz w:val="24"/>
                <w:szCs w:val="24"/>
              </w:rPr>
              <w:t>pMDI</w:t>
            </w:r>
            <w:proofErr w:type="spellEnd"/>
            <w:r w:rsidRPr="00F55BFB">
              <w:rPr>
                <w:rFonts w:ascii="Times New Roman" w:hAnsi="Times New Roman"/>
                <w:sz w:val="24"/>
                <w:szCs w:val="24"/>
              </w:rPr>
              <w:t xml:space="preserve">, Breath-Actuated and Breath-Controlled </w:t>
            </w:r>
            <w:proofErr w:type="spellStart"/>
            <w:r w:rsidRPr="00F55BFB">
              <w:rPr>
                <w:rFonts w:ascii="Times New Roman" w:hAnsi="Times New Roman"/>
                <w:sz w:val="24"/>
                <w:szCs w:val="24"/>
              </w:rPr>
              <w:t>pMDI</w:t>
            </w:r>
            <w:proofErr w:type="spellEnd"/>
            <w:r w:rsidRPr="00F55BFB">
              <w:rPr>
                <w:rFonts w:ascii="Times New Roman" w:hAnsi="Times New Roman"/>
                <w:sz w:val="24"/>
                <w:szCs w:val="24"/>
              </w:rPr>
              <w:t xml:space="preserve">, and Soft-Mist </w:t>
            </w:r>
            <w:proofErr w:type="spellStart"/>
            <w:r w:rsidRPr="00F55BFB">
              <w:rPr>
                <w:rFonts w:ascii="Times New Roman" w:hAnsi="Times New Roman"/>
                <w:sz w:val="24"/>
                <w:szCs w:val="24"/>
              </w:rPr>
              <w:t>pMDI</w:t>
            </w:r>
            <w:proofErr w:type="spellEnd"/>
          </w:p>
        </w:tc>
      </w:tr>
      <w:tr w:rsidR="00113A67" w:rsidRPr="00F55BFB">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proofErr w:type="gramStart"/>
            <w:r w:rsidRPr="00F55BFB">
              <w:rPr>
                <w:rFonts w:ascii="Times New Roman" w:hAnsi="Times New Roman"/>
                <w:sz w:val="24"/>
                <w:szCs w:val="24"/>
              </w:rPr>
              <w:t>dry</w:t>
            </w:r>
            <w:proofErr w:type="gramEnd"/>
            <w:r w:rsidRPr="00F55BFB">
              <w:rPr>
                <w:rFonts w:ascii="Times New Roman" w:hAnsi="Times New Roman"/>
                <w:sz w:val="24"/>
                <w:szCs w:val="24"/>
              </w:rPr>
              <w:t xml:space="preserve"> powder inhaler (DPI).</w:t>
            </w:r>
          </w:p>
        </w:tc>
        <w:tc>
          <w:tcPr>
            <w:tcW w:w="4788"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Single-Dose DPI, Multiple Unit-Dose DPI, and Multiple-Dose DPI</w:t>
            </w:r>
          </w:p>
        </w:tc>
      </w:tr>
    </w:tbl>
    <w:p w:rsidR="00113A67" w:rsidRPr="00F55BFB" w:rsidRDefault="00113A67" w:rsidP="00F55BFB">
      <w:pPr>
        <w:spacing w:line="480" w:lineRule="auto"/>
        <w:rPr>
          <w:rFonts w:ascii="Times New Roman" w:hAnsi="Times New Roman"/>
          <w:sz w:val="24"/>
          <w:szCs w:val="24"/>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0"/>
        <w:gridCol w:w="2676"/>
        <w:gridCol w:w="1637"/>
        <w:gridCol w:w="1795"/>
        <w:gridCol w:w="1708"/>
      </w:tblGrid>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lastRenderedPageBreak/>
              <w:t xml:space="preserve">Medication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 xml:space="preserve">Indication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 xml:space="preserve">Onset/ duration/ peak time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 xml:space="preserve">Delivery device(s)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b/>
                <w:bCs/>
                <w:sz w:val="24"/>
                <w:szCs w:val="24"/>
              </w:rPr>
            </w:pPr>
            <w:r w:rsidRPr="00F55BFB">
              <w:rPr>
                <w:rFonts w:ascii="Times New Roman" w:hAnsi="Times New Roman"/>
                <w:b/>
                <w:bCs/>
                <w:sz w:val="24"/>
                <w:szCs w:val="24"/>
              </w:rPr>
              <w:t xml:space="preserve">Unit doses available </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Albuterol Sulfate</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Used to treat wheezing, shortness of breath, chest tightness caused by COPD, difficulty breathing, and coughing.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Duration 2. 3 hours; onset 7 minutes; peak 50 minutes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Small-volume nebulizer (mesh nebulizer)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3mL o</w:t>
            </w:r>
            <w:r w:rsidRPr="00F55BFB">
              <w:rPr>
                <w:rFonts w:ascii="Times New Roman" w:hAnsi="Times New Roman"/>
                <w:sz w:val="24"/>
                <w:szCs w:val="24"/>
              </w:rPr>
              <w:t xml:space="preserve">f 1.25mg or 0.63mg inhalation solution </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Ipratropium Bromide</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Used for the treatment of reversible bronchospasm associated with COPD. Indicated when used concomitantly with inhaled beta2-agonists</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Duration 5 hours; onset 20 minutes; peak 60 minutes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SVN - ul</w:t>
            </w:r>
            <w:r w:rsidRPr="00F55BFB">
              <w:rPr>
                <w:rFonts w:ascii="Times New Roman" w:hAnsi="Times New Roman"/>
                <w:sz w:val="24"/>
                <w:szCs w:val="24"/>
              </w:rPr>
              <w:t xml:space="preserve">trasonic nebulizer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1mL of 250 micrograms or 2mL of 500 micrograms </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Budesonide</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Treatment of COPD, exercise-induced bronchospasm prophylaxis, treatment of </w:t>
            </w:r>
            <w:proofErr w:type="spellStart"/>
            <w:r w:rsidRPr="00F55BFB">
              <w:rPr>
                <w:rFonts w:ascii="Times New Roman" w:hAnsi="Times New Roman"/>
                <w:sz w:val="24"/>
                <w:szCs w:val="24"/>
              </w:rPr>
              <w:t>laryngotracheobronchitis</w:t>
            </w:r>
            <w:proofErr w:type="spellEnd"/>
            <w:r w:rsidRPr="00F55BFB">
              <w:rPr>
                <w:rFonts w:ascii="Times New Roman" w:hAnsi="Times New Roman"/>
                <w:sz w:val="24"/>
                <w:szCs w:val="24"/>
              </w:rPr>
              <w:t xml:space="preserve">, treatment of collagenous colitis, ulcerative colitis, </w:t>
            </w:r>
            <w:r w:rsidRPr="00F55BFB">
              <w:rPr>
                <w:rFonts w:ascii="Times New Roman" w:hAnsi="Times New Roman"/>
                <w:sz w:val="24"/>
                <w:szCs w:val="24"/>
              </w:rPr>
              <w:lastRenderedPageBreak/>
              <w:t xml:space="preserve">and treatment of asthma,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lastRenderedPageBreak/>
              <w:t>Duration 24 hours; onset 2 to 8 days; peak 4 to 6 weeks</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proofErr w:type="spellStart"/>
            <w:r w:rsidRPr="00F55BFB">
              <w:rPr>
                <w:rFonts w:ascii="Times New Roman" w:hAnsi="Times New Roman"/>
                <w:sz w:val="24"/>
                <w:szCs w:val="24"/>
              </w:rPr>
              <w:t>pMDI</w:t>
            </w:r>
            <w:proofErr w:type="spellEnd"/>
            <w:r w:rsidRPr="00F55BFB">
              <w:rPr>
                <w:rFonts w:ascii="Times New Roman" w:hAnsi="Times New Roman"/>
                <w:sz w:val="24"/>
                <w:szCs w:val="24"/>
              </w:rPr>
              <w:t>, DPI, and SVN</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0.25mg and 0.5mg per 2mL</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proofErr w:type="spellStart"/>
            <w:r w:rsidRPr="00F55BFB">
              <w:rPr>
                <w:rFonts w:ascii="Times New Roman" w:hAnsi="Times New Roman"/>
                <w:sz w:val="24"/>
                <w:szCs w:val="24"/>
              </w:rPr>
              <w:t>Tobramyacin</w:t>
            </w:r>
            <w:proofErr w:type="spellEnd"/>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Used to treat bacterial eye infection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Duration 2 hours, onset 8 hours; peak 30 and 90 minutes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SVN - mesh nebulizer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2 - 2.5mg/kg every 8 hours or 1.5 - 1.89mg/kg every 6 hours </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Hypertonic Saline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used for the </w:t>
            </w:r>
            <w:r w:rsidRPr="00F55BFB">
              <w:rPr>
                <w:rFonts w:ascii="Times New Roman" w:hAnsi="Times New Roman"/>
                <w:sz w:val="24"/>
                <w:szCs w:val="24"/>
              </w:rPr>
              <w:t>treatment of brain injury, volume resuscitation, and hyponatremia</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Duration 1 hour; onset 2 days; peak time 4 days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SVN - Pneumatically powered nebulizers and mesh nebulizers</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3% of 250mL</w:t>
            </w:r>
          </w:p>
        </w:tc>
      </w:tr>
      <w:tr w:rsidR="00113A67" w:rsidRPr="00F55BFB">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proofErr w:type="spellStart"/>
            <w:r w:rsidRPr="00F55BFB">
              <w:rPr>
                <w:rFonts w:ascii="Times New Roman" w:hAnsi="Times New Roman"/>
                <w:sz w:val="24"/>
                <w:szCs w:val="24"/>
              </w:rPr>
              <w:t>Dornase</w:t>
            </w:r>
            <w:proofErr w:type="spellEnd"/>
            <w:r w:rsidRPr="00F55BFB">
              <w:rPr>
                <w:rFonts w:ascii="Times New Roman" w:hAnsi="Times New Roman"/>
                <w:sz w:val="24"/>
                <w:szCs w:val="24"/>
              </w:rPr>
              <w:t xml:space="preserve"> Alpha</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Used to reduce lung infections and improve lung functio</w:t>
            </w:r>
            <w:r w:rsidRPr="00F55BFB">
              <w:rPr>
                <w:rFonts w:ascii="Times New Roman" w:hAnsi="Times New Roman"/>
                <w:sz w:val="24"/>
                <w:szCs w:val="24"/>
              </w:rPr>
              <w:t xml:space="preserve">ns for patients suffering from cystic fibrosis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Duration 15 minutes; onset 3 to 7 days; peak time 9 days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SVN - pneumatically powered nebulizers </w:t>
            </w:r>
          </w:p>
        </w:tc>
        <w:tc>
          <w:tcPr>
            <w:tcW w:w="1925" w:type="dxa"/>
            <w:tcBorders>
              <w:top w:val="single" w:sz="4" w:space="0" w:color="auto"/>
              <w:left w:val="single" w:sz="4" w:space="0" w:color="auto"/>
              <w:bottom w:val="single" w:sz="4" w:space="0" w:color="auto"/>
              <w:right w:val="single" w:sz="4" w:space="0" w:color="auto"/>
            </w:tcBorders>
          </w:tcPr>
          <w:p w:rsidR="00113A67" w:rsidRPr="00F55BFB" w:rsidRDefault="00F55BFB" w:rsidP="00F55BFB">
            <w:pPr>
              <w:spacing w:line="480" w:lineRule="auto"/>
              <w:rPr>
                <w:rFonts w:ascii="Times New Roman" w:hAnsi="Times New Roman"/>
                <w:sz w:val="24"/>
                <w:szCs w:val="24"/>
              </w:rPr>
            </w:pPr>
            <w:r w:rsidRPr="00F55BFB">
              <w:rPr>
                <w:rFonts w:ascii="Times New Roman" w:hAnsi="Times New Roman"/>
                <w:sz w:val="24"/>
                <w:szCs w:val="24"/>
              </w:rPr>
              <w:t xml:space="preserve">2.5mg once per day </w:t>
            </w:r>
          </w:p>
        </w:tc>
      </w:tr>
    </w:tbl>
    <w:p w:rsidR="00113A67" w:rsidRPr="00F55BFB" w:rsidRDefault="00113A67" w:rsidP="00F55BFB">
      <w:pPr>
        <w:spacing w:line="480" w:lineRule="auto"/>
        <w:rPr>
          <w:rFonts w:ascii="Times New Roman" w:hAnsi="Times New Roman"/>
          <w:sz w:val="24"/>
          <w:szCs w:val="24"/>
        </w:rPr>
      </w:pPr>
    </w:p>
    <w:sectPr w:rsidR="00113A67" w:rsidRPr="00F55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67"/>
    <w:rsid w:val="00113A67"/>
    <w:rsid w:val="00F5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56A612-6E39-4D7A-86FE-6D76AD3B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2021-05-30T03:46:00Z</dcterms:created>
  <dcterms:modified xsi:type="dcterms:W3CDTF">2021-05-30T03:46:00Z</dcterms:modified>
</cp:coreProperties>
</file>