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9FA" w:rsidRDefault="000709FA" w:rsidP="000709FA">
      <w:pPr>
        <w:jc w:val="center"/>
        <w:rPr>
          <w:rFonts w:ascii="Times New Roman" w:hAnsi="Times New Roman" w:cs="Times New Roman"/>
          <w:sz w:val="24"/>
          <w:szCs w:val="24"/>
        </w:rPr>
      </w:pPr>
    </w:p>
    <w:p w:rsidR="000709FA" w:rsidRDefault="000709FA" w:rsidP="000709FA">
      <w:pPr>
        <w:jc w:val="center"/>
        <w:rPr>
          <w:rFonts w:ascii="Times New Roman" w:hAnsi="Times New Roman" w:cs="Times New Roman"/>
          <w:sz w:val="24"/>
          <w:szCs w:val="24"/>
        </w:rPr>
      </w:pPr>
    </w:p>
    <w:p w:rsidR="000709FA" w:rsidRDefault="000709FA" w:rsidP="000709FA">
      <w:pPr>
        <w:jc w:val="center"/>
        <w:rPr>
          <w:rFonts w:ascii="Times New Roman" w:hAnsi="Times New Roman" w:cs="Times New Roman"/>
          <w:sz w:val="24"/>
          <w:szCs w:val="24"/>
        </w:rPr>
      </w:pPr>
    </w:p>
    <w:p w:rsidR="007C2A38" w:rsidRPr="007C2A38" w:rsidRDefault="007C2A38" w:rsidP="000709FA">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Developments in Atomic Layer Deposition Thermoelectric</w:t>
      </w:r>
    </w:p>
    <w:p w:rsidR="007C2A38" w:rsidRPr="007C2A38" w:rsidRDefault="007C2A38" w:rsidP="000709FA">
      <w:pPr>
        <w:spacing w:line="480" w:lineRule="auto"/>
        <w:jc w:val="center"/>
        <w:rPr>
          <w:rFonts w:ascii="Times New Roman" w:hAnsi="Times New Roman" w:cs="Times New Roman"/>
          <w:sz w:val="24"/>
          <w:szCs w:val="24"/>
        </w:rPr>
      </w:pPr>
      <w:r w:rsidRPr="007C2A38">
        <w:rPr>
          <w:rFonts w:ascii="Times New Roman" w:hAnsi="Times New Roman" w:cs="Times New Roman"/>
          <w:sz w:val="24"/>
          <w:szCs w:val="24"/>
        </w:rPr>
        <w:t>Name:</w:t>
      </w:r>
    </w:p>
    <w:p w:rsidR="007C2A38" w:rsidRPr="007C2A38" w:rsidRDefault="007C2A38" w:rsidP="000709FA">
      <w:pPr>
        <w:spacing w:line="480" w:lineRule="auto"/>
        <w:jc w:val="center"/>
        <w:rPr>
          <w:rFonts w:ascii="Times New Roman" w:hAnsi="Times New Roman" w:cs="Times New Roman"/>
          <w:sz w:val="24"/>
          <w:szCs w:val="24"/>
        </w:rPr>
      </w:pPr>
      <w:r w:rsidRPr="007C2A38">
        <w:rPr>
          <w:rFonts w:ascii="Times New Roman" w:hAnsi="Times New Roman" w:cs="Times New Roman"/>
          <w:sz w:val="24"/>
          <w:szCs w:val="24"/>
        </w:rPr>
        <w:t>Professor:</w:t>
      </w:r>
    </w:p>
    <w:p w:rsidR="007C2A38" w:rsidRPr="007C2A38" w:rsidRDefault="007C2A38" w:rsidP="000709FA">
      <w:pPr>
        <w:spacing w:line="480" w:lineRule="auto"/>
        <w:jc w:val="center"/>
        <w:rPr>
          <w:rFonts w:ascii="Times New Roman" w:hAnsi="Times New Roman" w:cs="Times New Roman"/>
          <w:sz w:val="24"/>
          <w:szCs w:val="24"/>
        </w:rPr>
      </w:pPr>
      <w:r w:rsidRPr="007C2A38">
        <w:rPr>
          <w:rFonts w:ascii="Times New Roman" w:hAnsi="Times New Roman" w:cs="Times New Roman"/>
          <w:sz w:val="24"/>
          <w:szCs w:val="24"/>
        </w:rPr>
        <w:t>Course Title:</w:t>
      </w:r>
    </w:p>
    <w:p w:rsidR="007C2A38" w:rsidRPr="007C2A38" w:rsidRDefault="007C2A38" w:rsidP="000709FA">
      <w:pPr>
        <w:spacing w:line="480" w:lineRule="auto"/>
        <w:jc w:val="center"/>
        <w:rPr>
          <w:rFonts w:ascii="Times New Roman" w:hAnsi="Times New Roman" w:cs="Times New Roman"/>
          <w:sz w:val="24"/>
          <w:szCs w:val="24"/>
        </w:rPr>
      </w:pPr>
      <w:r w:rsidRPr="007C2A38">
        <w:rPr>
          <w:rFonts w:ascii="Times New Roman" w:hAnsi="Times New Roman" w:cs="Times New Roman"/>
          <w:sz w:val="24"/>
          <w:szCs w:val="24"/>
        </w:rPr>
        <w:t>Institution:</w:t>
      </w:r>
    </w:p>
    <w:p w:rsidR="007C2A38" w:rsidRDefault="007C2A38" w:rsidP="000709FA">
      <w:pPr>
        <w:spacing w:line="480" w:lineRule="auto"/>
        <w:jc w:val="center"/>
        <w:rPr>
          <w:rFonts w:ascii="Times New Roman" w:hAnsi="Times New Roman" w:cs="Times New Roman"/>
          <w:sz w:val="24"/>
          <w:szCs w:val="24"/>
        </w:rPr>
      </w:pPr>
      <w:r w:rsidRPr="007C2A38">
        <w:rPr>
          <w:rFonts w:ascii="Times New Roman" w:hAnsi="Times New Roman" w:cs="Times New Roman"/>
          <w:sz w:val="24"/>
          <w:szCs w:val="24"/>
        </w:rPr>
        <w:t>Date:</w:t>
      </w:r>
      <w:r>
        <w:rPr>
          <w:rFonts w:ascii="Times New Roman" w:hAnsi="Times New Roman" w:cs="Times New Roman"/>
          <w:sz w:val="24"/>
          <w:szCs w:val="24"/>
        </w:rPr>
        <w:br w:type="page"/>
      </w:r>
    </w:p>
    <w:p w:rsidR="00B809F2" w:rsidRPr="00B809F2" w:rsidRDefault="007C2A38" w:rsidP="00B809F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Industrial advancement and resource utilization at minimum costs</w:t>
      </w:r>
      <w:r w:rsidR="00B809F2" w:rsidRPr="00B809F2">
        <w:rPr>
          <w:rFonts w:ascii="Times New Roman" w:hAnsi="Times New Roman" w:cs="Times New Roman"/>
          <w:sz w:val="24"/>
          <w:szCs w:val="24"/>
        </w:rPr>
        <w:t xml:space="preserve"> are key global issues that </w:t>
      </w:r>
      <w:r>
        <w:rPr>
          <w:rFonts w:ascii="Times New Roman" w:hAnsi="Times New Roman" w:cs="Times New Roman"/>
          <w:sz w:val="24"/>
          <w:szCs w:val="24"/>
        </w:rPr>
        <w:t xml:space="preserve">have captured the attention of </w:t>
      </w:r>
      <w:r w:rsidR="00B809F2" w:rsidRPr="00B809F2">
        <w:rPr>
          <w:rFonts w:ascii="Times New Roman" w:hAnsi="Times New Roman" w:cs="Times New Roman"/>
          <w:sz w:val="24"/>
          <w:szCs w:val="24"/>
        </w:rPr>
        <w:t xml:space="preserve">different stakeholders including scientists and technology gurus. They are all working towards a green economy one where </w:t>
      </w:r>
      <w:r>
        <w:rPr>
          <w:rFonts w:ascii="Times New Roman" w:hAnsi="Times New Roman" w:cs="Times New Roman"/>
          <w:sz w:val="24"/>
          <w:szCs w:val="24"/>
        </w:rPr>
        <w:t xml:space="preserve">everything including </w:t>
      </w:r>
      <w:r w:rsidR="00B809F2" w:rsidRPr="00B809F2">
        <w:rPr>
          <w:rFonts w:ascii="Times New Roman" w:hAnsi="Times New Roman" w:cs="Times New Roman"/>
          <w:sz w:val="24"/>
          <w:szCs w:val="24"/>
        </w:rPr>
        <w:t xml:space="preserve">waste heat are put into use. Innovations on thermoelectricity, the technology of green renewable energy have taken multiple developments and is a milestone </w:t>
      </w:r>
      <w:r w:rsidR="00B809F2">
        <w:rPr>
          <w:rFonts w:ascii="Times New Roman" w:hAnsi="Times New Roman" w:cs="Times New Roman"/>
          <w:sz w:val="24"/>
          <w:szCs w:val="24"/>
        </w:rPr>
        <w:t>in environmental conservation.</w:t>
      </w:r>
      <w:r w:rsidR="00B809F2" w:rsidRPr="00B809F2">
        <w:rPr>
          <w:rFonts w:ascii="Times New Roman" w:hAnsi="Times New Roman" w:cs="Times New Roman"/>
          <w:sz w:val="24"/>
          <w:szCs w:val="24"/>
        </w:rPr>
        <w:t xml:space="preserve"> This</w:t>
      </w:r>
      <w:r w:rsidR="00B809F2" w:rsidRPr="00B809F2">
        <w:rPr>
          <w:rFonts w:ascii="Times New Roman" w:hAnsi="Times New Roman" w:cs="Times New Roman"/>
          <w:sz w:val="24"/>
          <w:szCs w:val="24"/>
        </w:rPr>
        <w:t xml:space="preserve"> work analyzes various developments in atomic layer disposition (ALD) thermoelectricity, a chemical gas phase ultra-thin film deposition technique. This will cover some of the approaches that have been taken to improve the technology, factors that affect ALD, and help improve the numerous ways of optimizing the technology which not only reduces costs but also energy waste resolving adverse environmental issues emanating from energy waste.</w:t>
      </w:r>
    </w:p>
    <w:p w:rsidR="00B809F2" w:rsidRPr="00B809F2" w:rsidRDefault="00B809F2" w:rsidP="00B809F2">
      <w:pPr>
        <w:spacing w:line="480" w:lineRule="auto"/>
        <w:jc w:val="both"/>
        <w:rPr>
          <w:rFonts w:ascii="Times New Roman" w:hAnsi="Times New Roman" w:cs="Times New Roman"/>
          <w:sz w:val="24"/>
          <w:szCs w:val="24"/>
        </w:rPr>
      </w:pPr>
      <w:r w:rsidRPr="00B809F2">
        <w:rPr>
          <w:rFonts w:ascii="Times New Roman" w:hAnsi="Times New Roman" w:cs="Times New Roman"/>
          <w:sz w:val="24"/>
          <w:szCs w:val="24"/>
        </w:rPr>
        <w:t>There are numerous advantages of ALD thermoelectric technology hence the continued efforts to advance it. These include the production of high-quality films whose thickness can be regulated. Not only do the films show excellent repeatability but also have high density, are ultra-thin and amorphous too. Additionally, the technology has proven to provide high conformality achieved through large area thickness uniformity and surface coating that is both flat and smooth. It has shown potential in atomic-level control, challenged various substrates through low temperature and stress, excellent adhesion and ability to coat Teflon.  Moreover, the process is conducted under low temperature, is self- assembled, and has stoichiometric control. However, it has some drawbacks which include the cost-effectiveness as a result of the disposition rate, the emission of nano-particles, and its intensive nature</w:t>
      </w:r>
      <w:r w:rsidR="00BF0204">
        <w:rPr>
          <w:rFonts w:ascii="Times New Roman" w:hAnsi="Times New Roman" w:cs="Times New Roman"/>
          <w:sz w:val="24"/>
          <w:szCs w:val="24"/>
        </w:rPr>
        <w:t xml:space="preserve"> (Leskela, 2003)</w:t>
      </w:r>
      <w:r w:rsidRPr="00B809F2">
        <w:rPr>
          <w:rFonts w:ascii="Times New Roman" w:hAnsi="Times New Roman" w:cs="Times New Roman"/>
          <w:sz w:val="24"/>
          <w:szCs w:val="24"/>
        </w:rPr>
        <w:t xml:space="preserve">. </w:t>
      </w:r>
    </w:p>
    <w:p w:rsidR="00B809F2" w:rsidRPr="00B809F2" w:rsidRDefault="00B809F2" w:rsidP="00B809F2">
      <w:pPr>
        <w:spacing w:line="480" w:lineRule="auto"/>
        <w:jc w:val="both"/>
        <w:rPr>
          <w:rFonts w:ascii="Times New Roman" w:hAnsi="Times New Roman" w:cs="Times New Roman"/>
          <w:sz w:val="24"/>
          <w:szCs w:val="24"/>
        </w:rPr>
      </w:pPr>
      <w:r w:rsidRPr="00B809F2">
        <w:rPr>
          <w:rFonts w:ascii="Times New Roman" w:hAnsi="Times New Roman" w:cs="Times New Roman"/>
          <w:sz w:val="24"/>
          <w:szCs w:val="24"/>
        </w:rPr>
        <w:t xml:space="preserve"> There have been many advances to advance ALD thermoelectric technology. The advances have taken two approaches: numerical and experimental. Through the experimental approach within the concept of ALD, researches have been able to advance deposition using thermoelectric properties </w:t>
      </w:r>
      <w:r w:rsidRPr="00B809F2">
        <w:rPr>
          <w:rFonts w:ascii="Times New Roman" w:hAnsi="Times New Roman" w:cs="Times New Roman"/>
          <w:sz w:val="24"/>
          <w:szCs w:val="24"/>
        </w:rPr>
        <w:lastRenderedPageBreak/>
        <w:t>without tempering with the crystalline structure of the precursors. Specifically, thin-cut films generated from zinc oxide, which is a thermoelectric material was used together with either aluminum or phosphorus</w:t>
      </w:r>
      <w:r w:rsidR="00A92B90">
        <w:rPr>
          <w:rFonts w:ascii="Times New Roman" w:hAnsi="Times New Roman" w:cs="Times New Roman"/>
          <w:sz w:val="24"/>
          <w:szCs w:val="24"/>
        </w:rPr>
        <w:t xml:space="preserve"> </w:t>
      </w:r>
      <w:r w:rsidR="002D109D">
        <w:rPr>
          <w:rFonts w:ascii="Times New Roman" w:hAnsi="Times New Roman" w:cs="Times New Roman"/>
          <w:sz w:val="24"/>
          <w:szCs w:val="24"/>
        </w:rPr>
        <w:t>(Pinna, 2012)</w:t>
      </w:r>
      <w:r w:rsidRPr="00B809F2">
        <w:rPr>
          <w:rFonts w:ascii="Times New Roman" w:hAnsi="Times New Roman" w:cs="Times New Roman"/>
          <w:sz w:val="24"/>
          <w:szCs w:val="24"/>
        </w:rPr>
        <w:t xml:space="preserve"> </w:t>
      </w:r>
      <w:r w:rsidR="007C2A38" w:rsidRPr="00B809F2">
        <w:rPr>
          <w:rFonts w:ascii="Times New Roman" w:hAnsi="Times New Roman" w:cs="Times New Roman"/>
          <w:sz w:val="24"/>
          <w:szCs w:val="24"/>
        </w:rPr>
        <w:t>specifically</w:t>
      </w:r>
      <w:r w:rsidRPr="00B809F2">
        <w:rPr>
          <w:rFonts w:ascii="Times New Roman" w:hAnsi="Times New Roman" w:cs="Times New Roman"/>
          <w:sz w:val="24"/>
          <w:szCs w:val="24"/>
        </w:rPr>
        <w:t>, the adjustments made were on pressure, purge time, concentration, and temperature. This milestone is specifically useful in the fabrication of varied forms of nanostructures and thermoelectric advancement.</w:t>
      </w:r>
    </w:p>
    <w:p w:rsidR="00B809F2" w:rsidRPr="00B809F2" w:rsidRDefault="00B809F2" w:rsidP="00B809F2">
      <w:pPr>
        <w:spacing w:line="480" w:lineRule="auto"/>
        <w:jc w:val="both"/>
        <w:rPr>
          <w:rFonts w:ascii="Times New Roman" w:hAnsi="Times New Roman" w:cs="Times New Roman"/>
          <w:sz w:val="24"/>
          <w:szCs w:val="24"/>
        </w:rPr>
      </w:pPr>
      <w:r w:rsidRPr="00B809F2">
        <w:rPr>
          <w:rFonts w:ascii="Times New Roman" w:hAnsi="Times New Roman" w:cs="Times New Roman"/>
          <w:sz w:val="24"/>
          <w:szCs w:val="24"/>
        </w:rPr>
        <w:t xml:space="preserve"> Under the numerical approach, interest has been placed on devising a solution to the drawbacks on the prediction capability of ALD over the substrates. In the past, the ALD process entails sequential reactions that are related to feature and reactor scale one that </w:t>
      </w:r>
      <w:r w:rsidR="002D109D">
        <w:rPr>
          <w:rFonts w:ascii="Times New Roman" w:hAnsi="Times New Roman" w:cs="Times New Roman"/>
          <w:sz w:val="24"/>
          <w:szCs w:val="24"/>
        </w:rPr>
        <w:t>entails multi-scale examination (</w:t>
      </w:r>
      <w:proofErr w:type="spellStart"/>
      <w:r w:rsidR="002D109D">
        <w:rPr>
          <w:rFonts w:ascii="Times New Roman" w:hAnsi="Times New Roman" w:cs="Times New Roman"/>
          <w:sz w:val="24"/>
          <w:szCs w:val="24"/>
        </w:rPr>
        <w:t>Adomaitis</w:t>
      </w:r>
      <w:proofErr w:type="spellEnd"/>
      <w:r w:rsidR="007C2A38">
        <w:rPr>
          <w:rFonts w:ascii="Times New Roman" w:hAnsi="Times New Roman" w:cs="Times New Roman"/>
          <w:sz w:val="24"/>
          <w:szCs w:val="24"/>
        </w:rPr>
        <w:t>, 2010</w:t>
      </w:r>
      <w:r w:rsidR="002D109D">
        <w:rPr>
          <w:rFonts w:ascii="Times New Roman" w:hAnsi="Times New Roman" w:cs="Times New Roman"/>
          <w:sz w:val="24"/>
          <w:szCs w:val="24"/>
        </w:rPr>
        <w:t xml:space="preserve">). </w:t>
      </w:r>
      <w:r w:rsidRPr="00B809F2">
        <w:rPr>
          <w:rFonts w:ascii="Times New Roman" w:hAnsi="Times New Roman" w:cs="Times New Roman"/>
          <w:sz w:val="24"/>
          <w:szCs w:val="24"/>
        </w:rPr>
        <w:t xml:space="preserve">The process comprises of the construction of atomic bonds, the adsorption of species, kinetic transformations in different chemicals as well as film deposition. Moreover, there is an important inclusion of interaction between materials as well as chemical selections, effects inclined on geometry, fluid, and energy transport on a macroscopic level. Success has been obtained through the use of mesoscopic scale one that enables simulation whilst holding steady the continuum laws. Additionally, the scale utilizes density features of the films to obtain its net fluxes.  Further, it has capabilities to not only match but also separate various scale processes based on the reactor grid placement of an element. Further developments have utilized the Gauss-Jordan factorization to decouple various modes of thin-film deposition which takes advantage of the cyclic dynamic behavior of ALD and the complexity in establishing various precursor processes on amorphous films. </w:t>
      </w:r>
    </w:p>
    <w:p w:rsidR="00B809F2" w:rsidRPr="00B809F2" w:rsidRDefault="00B809F2" w:rsidP="00B809F2">
      <w:pPr>
        <w:spacing w:line="480" w:lineRule="auto"/>
        <w:jc w:val="both"/>
        <w:rPr>
          <w:rFonts w:ascii="Times New Roman" w:hAnsi="Times New Roman" w:cs="Times New Roman"/>
          <w:sz w:val="24"/>
          <w:szCs w:val="24"/>
        </w:rPr>
      </w:pPr>
      <w:r w:rsidRPr="00B809F2">
        <w:rPr>
          <w:rFonts w:ascii="Times New Roman" w:hAnsi="Times New Roman" w:cs="Times New Roman"/>
          <w:sz w:val="24"/>
          <w:szCs w:val="24"/>
        </w:rPr>
        <w:t xml:space="preserve"> Owing to the numerous initiatives taken to explore ALD deposition thermoelectricity, various developments have been achieved and credits through various applications of the technology. First, ALD has been proven to have various advantages in thermoelectricity. The adoption of ALD technology in transistors has steered more research to improve a three-dimensional structure that </w:t>
      </w:r>
      <w:r w:rsidRPr="00B809F2">
        <w:rPr>
          <w:rFonts w:ascii="Times New Roman" w:hAnsi="Times New Roman" w:cs="Times New Roman"/>
          <w:sz w:val="24"/>
          <w:szCs w:val="24"/>
        </w:rPr>
        <w:lastRenderedPageBreak/>
        <w:t xml:space="preserve">is highly ordered and one with a high surface area. This has steered the development of large-scale integrated circuit technology. This will not only diversify the use of ALD in the semiconductor but also in the microelectronic industries. Further developments in ALD thermoelectricity is through its adoption in </w:t>
      </w:r>
      <w:r w:rsidR="007C2A38" w:rsidRPr="00B809F2">
        <w:rPr>
          <w:rFonts w:ascii="Times New Roman" w:hAnsi="Times New Roman" w:cs="Times New Roman"/>
          <w:sz w:val="24"/>
          <w:szCs w:val="24"/>
        </w:rPr>
        <w:t>desalination</w:t>
      </w:r>
      <w:r w:rsidR="007C2A38">
        <w:rPr>
          <w:rFonts w:ascii="Times New Roman" w:hAnsi="Times New Roman" w:cs="Times New Roman"/>
          <w:sz w:val="24"/>
          <w:szCs w:val="24"/>
        </w:rPr>
        <w:t xml:space="preserve"> (Li, 2013)</w:t>
      </w:r>
      <w:r w:rsidRPr="00B809F2">
        <w:rPr>
          <w:rFonts w:ascii="Times New Roman" w:hAnsi="Times New Roman" w:cs="Times New Roman"/>
          <w:sz w:val="24"/>
          <w:szCs w:val="24"/>
        </w:rPr>
        <w:t>.  With the increasing world population and consequent increase in the need for water a method to purify ocean water has become a necessity. Through advanced research, it has been contended that it is possible to develop an ALD based technology that utilizes membrane decoupling through thermal and multi-effect distillation.</w:t>
      </w:r>
    </w:p>
    <w:p w:rsidR="00B809F2" w:rsidRDefault="00B809F2" w:rsidP="00B809F2">
      <w:pPr>
        <w:spacing w:line="480" w:lineRule="auto"/>
        <w:jc w:val="both"/>
        <w:rPr>
          <w:rFonts w:ascii="Times New Roman" w:hAnsi="Times New Roman" w:cs="Times New Roman"/>
          <w:sz w:val="24"/>
          <w:szCs w:val="24"/>
        </w:rPr>
      </w:pPr>
      <w:r w:rsidRPr="00B809F2">
        <w:rPr>
          <w:rFonts w:ascii="Times New Roman" w:hAnsi="Times New Roman" w:cs="Times New Roman"/>
          <w:sz w:val="24"/>
          <w:szCs w:val="24"/>
        </w:rPr>
        <w:t xml:space="preserve"> Oblivious of the milestones achieved using ALD there have been limitations on a large scale and industrial utilization of deposit protection on various substrate compositions as well as geometries. The challenges are rooted in the need to operate under high vacuum conditions which aggravate costs on materials as a result of bulk ALD depositions. Additionally, there is a mismatch in the deposition terms especially in large scale production which emanates dorm cycled reactant injections and purges. However, ALD thermoelectricity continues to offer promising solutions due to its multiple benefits in interference coloring and capabilities in transforming friction and wettability of materials.  Furthermore, further exploration of ALD is likely to come up with findings that are vital to the industrial sector such as solutions to resistance to high-temperature oxidation as well as chemical diffusion. Thermoelectric materials and the whole ALD concept is bound to improve different sectors. The numerous features and capabilities of ALD are becoming key in the current world where each resource is to be conserved.</w:t>
      </w:r>
    </w:p>
    <w:p w:rsidR="007C2A38" w:rsidRDefault="007C2A38">
      <w:pPr>
        <w:rPr>
          <w:rFonts w:ascii="Times New Roman" w:hAnsi="Times New Roman" w:cs="Times New Roman"/>
          <w:sz w:val="24"/>
          <w:szCs w:val="24"/>
        </w:rPr>
      </w:pPr>
      <w:r>
        <w:rPr>
          <w:rFonts w:ascii="Times New Roman" w:hAnsi="Times New Roman" w:cs="Times New Roman"/>
          <w:sz w:val="24"/>
          <w:szCs w:val="24"/>
        </w:rPr>
        <w:br w:type="page"/>
      </w:r>
    </w:p>
    <w:p w:rsidR="000709FA" w:rsidRPr="00B809F2" w:rsidRDefault="00BF0204" w:rsidP="000709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0709FA" w:rsidRPr="00BF0204" w:rsidRDefault="000709FA" w:rsidP="000709FA">
      <w:pPr>
        <w:spacing w:line="480" w:lineRule="auto"/>
        <w:ind w:left="720" w:hanging="720"/>
        <w:jc w:val="both"/>
        <w:rPr>
          <w:rFonts w:ascii="Times New Roman" w:hAnsi="Times New Roman" w:cs="Times New Roman"/>
          <w:sz w:val="24"/>
          <w:szCs w:val="24"/>
        </w:rPr>
      </w:pPr>
      <w:r w:rsidRPr="00BF0204">
        <w:rPr>
          <w:rFonts w:ascii="Times New Roman" w:hAnsi="Times New Roman" w:cs="Times New Roman"/>
          <w:sz w:val="24"/>
          <w:szCs w:val="24"/>
        </w:rPr>
        <w:t>Adomaitis, R. A. (2010). Development of a multiscale model for an atomic layer deposition process. Journal of crystal growth, 312(8), 1449-1452.</w:t>
      </w:r>
    </w:p>
    <w:p w:rsidR="000709FA" w:rsidRPr="00BF0204" w:rsidRDefault="000709FA" w:rsidP="000709FA">
      <w:pPr>
        <w:spacing w:line="480" w:lineRule="auto"/>
        <w:ind w:left="720" w:hanging="720"/>
        <w:jc w:val="both"/>
        <w:rPr>
          <w:rFonts w:ascii="Times New Roman" w:hAnsi="Times New Roman" w:cs="Times New Roman"/>
          <w:sz w:val="24"/>
          <w:szCs w:val="24"/>
        </w:rPr>
      </w:pPr>
      <w:proofErr w:type="spellStart"/>
      <w:r w:rsidRPr="00BF0204">
        <w:rPr>
          <w:rFonts w:ascii="Times New Roman" w:hAnsi="Times New Roman" w:cs="Times New Roman"/>
          <w:sz w:val="24"/>
          <w:szCs w:val="24"/>
        </w:rPr>
        <w:t>Leskelä</w:t>
      </w:r>
      <w:proofErr w:type="spellEnd"/>
      <w:r w:rsidRPr="00BF0204">
        <w:rPr>
          <w:rFonts w:ascii="Times New Roman" w:hAnsi="Times New Roman" w:cs="Times New Roman"/>
          <w:sz w:val="24"/>
          <w:szCs w:val="24"/>
        </w:rPr>
        <w:t>, M., &amp; Ritala, M. (2003). Atomic layer deposition chemistry: recent developments and future challenges. Angewandte Chemie International Edition, 42(45), 5548-5554.</w:t>
      </w:r>
    </w:p>
    <w:p w:rsidR="000709FA" w:rsidRPr="00BF0204" w:rsidRDefault="000709FA" w:rsidP="000709FA">
      <w:pPr>
        <w:spacing w:line="480" w:lineRule="auto"/>
        <w:ind w:left="720" w:hanging="720"/>
        <w:jc w:val="both"/>
        <w:rPr>
          <w:rFonts w:ascii="Times New Roman" w:hAnsi="Times New Roman" w:cs="Times New Roman"/>
          <w:sz w:val="24"/>
          <w:szCs w:val="24"/>
        </w:rPr>
      </w:pPr>
      <w:r w:rsidRPr="00BF0204">
        <w:rPr>
          <w:rFonts w:ascii="Times New Roman" w:hAnsi="Times New Roman" w:cs="Times New Roman"/>
          <w:sz w:val="24"/>
          <w:szCs w:val="24"/>
        </w:rPr>
        <w:t>Li, W. M. (2013). Recent developments of atomic layer deposition processes for metallization. Chemical Vapor Deposition, 19(4</w:t>
      </w:r>
      <w:r w:rsidRPr="00BF0204">
        <w:rPr>
          <w:rFonts w:ascii="Cambria Math" w:hAnsi="Cambria Math" w:cs="Cambria Math"/>
          <w:sz w:val="24"/>
          <w:szCs w:val="24"/>
        </w:rPr>
        <w:t>‐</w:t>
      </w:r>
      <w:r w:rsidRPr="00BF0204">
        <w:rPr>
          <w:rFonts w:ascii="Times New Roman" w:hAnsi="Times New Roman" w:cs="Times New Roman"/>
          <w:sz w:val="24"/>
          <w:szCs w:val="24"/>
        </w:rPr>
        <w:t>6), 82-103.</w:t>
      </w:r>
    </w:p>
    <w:p w:rsidR="000709FA" w:rsidRPr="00B809F2" w:rsidRDefault="000709FA" w:rsidP="000709FA">
      <w:pPr>
        <w:spacing w:line="480" w:lineRule="auto"/>
        <w:ind w:left="720" w:hanging="720"/>
        <w:jc w:val="both"/>
        <w:rPr>
          <w:rFonts w:ascii="Times New Roman" w:hAnsi="Times New Roman" w:cs="Times New Roman"/>
          <w:sz w:val="24"/>
          <w:szCs w:val="24"/>
        </w:rPr>
      </w:pPr>
      <w:r w:rsidRPr="00BF0204">
        <w:rPr>
          <w:rFonts w:ascii="Times New Roman" w:hAnsi="Times New Roman" w:cs="Times New Roman"/>
          <w:sz w:val="24"/>
          <w:szCs w:val="24"/>
        </w:rPr>
        <w:t>Pinna, N., &amp; Knez, M. (Eds.). (2012). Atomic layer deposition of nanostructured materials. John Wiley &amp; Sons.</w:t>
      </w:r>
    </w:p>
    <w:p w:rsidR="00B809F2" w:rsidRPr="00B809F2" w:rsidRDefault="00B809F2" w:rsidP="00B809F2">
      <w:pPr>
        <w:spacing w:line="480" w:lineRule="auto"/>
        <w:jc w:val="both"/>
        <w:rPr>
          <w:rFonts w:ascii="Times New Roman" w:hAnsi="Times New Roman" w:cs="Times New Roman"/>
          <w:sz w:val="24"/>
          <w:szCs w:val="24"/>
        </w:rPr>
      </w:pPr>
    </w:p>
    <w:p w:rsidR="00651ACA" w:rsidRPr="00B809F2" w:rsidRDefault="00651ACA" w:rsidP="00B809F2">
      <w:pPr>
        <w:spacing w:line="480" w:lineRule="auto"/>
        <w:jc w:val="both"/>
        <w:rPr>
          <w:rFonts w:ascii="Times New Roman" w:hAnsi="Times New Roman" w:cs="Times New Roman"/>
          <w:sz w:val="24"/>
          <w:szCs w:val="24"/>
        </w:rPr>
      </w:pPr>
    </w:p>
    <w:sectPr w:rsidR="00651ACA" w:rsidRPr="00B809F2" w:rsidSect="007C2A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AB7" w:rsidRDefault="00633AB7" w:rsidP="007C2A38">
      <w:pPr>
        <w:spacing w:after="0" w:line="240" w:lineRule="auto"/>
      </w:pPr>
      <w:r>
        <w:separator/>
      </w:r>
    </w:p>
  </w:endnote>
  <w:endnote w:type="continuationSeparator" w:id="0">
    <w:p w:rsidR="00633AB7" w:rsidRDefault="00633AB7" w:rsidP="007C2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AB7" w:rsidRDefault="00633AB7" w:rsidP="007C2A38">
      <w:pPr>
        <w:spacing w:after="0" w:line="240" w:lineRule="auto"/>
      </w:pPr>
      <w:r>
        <w:separator/>
      </w:r>
    </w:p>
  </w:footnote>
  <w:footnote w:type="continuationSeparator" w:id="0">
    <w:p w:rsidR="00633AB7" w:rsidRDefault="00633AB7" w:rsidP="007C2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5116979"/>
      <w:docPartObj>
        <w:docPartGallery w:val="Page Numbers (Top of Page)"/>
        <w:docPartUnique/>
      </w:docPartObj>
    </w:sdtPr>
    <w:sdtEndPr>
      <w:rPr>
        <w:noProof/>
      </w:rPr>
    </w:sdtEndPr>
    <w:sdtContent>
      <w:p w:rsidR="007C2A38" w:rsidRPr="007C2A38" w:rsidRDefault="007C2A38">
        <w:pPr>
          <w:pStyle w:val="Header"/>
          <w:jc w:val="right"/>
          <w:rPr>
            <w:rFonts w:ascii="Times New Roman" w:hAnsi="Times New Roman" w:cs="Times New Roman"/>
            <w:sz w:val="24"/>
            <w:szCs w:val="24"/>
          </w:rPr>
        </w:pPr>
        <w:r w:rsidRPr="007C2A38">
          <w:rPr>
            <w:rFonts w:ascii="Times New Roman" w:hAnsi="Times New Roman" w:cs="Times New Roman"/>
            <w:sz w:val="24"/>
            <w:szCs w:val="24"/>
          </w:rPr>
          <w:t>INDUSTRIAL ADVANCEMENT</w:t>
        </w:r>
        <w:r>
          <w:rPr>
            <w:rFonts w:ascii="Times New Roman" w:hAnsi="Times New Roman" w:cs="Times New Roman"/>
            <w:sz w:val="24"/>
            <w:szCs w:val="24"/>
          </w:rPr>
          <w:t xml:space="preserve">                                                                                                </w:t>
        </w:r>
        <w:r w:rsidRPr="007C2A38">
          <w:rPr>
            <w:rFonts w:ascii="Times New Roman" w:hAnsi="Times New Roman" w:cs="Times New Roman"/>
            <w:sz w:val="24"/>
            <w:szCs w:val="24"/>
          </w:rPr>
          <w:t xml:space="preserve"> </w:t>
        </w:r>
        <w:r w:rsidRPr="007C2A38">
          <w:rPr>
            <w:rFonts w:ascii="Times New Roman" w:hAnsi="Times New Roman" w:cs="Times New Roman"/>
            <w:sz w:val="24"/>
            <w:szCs w:val="24"/>
          </w:rPr>
          <w:fldChar w:fldCharType="begin"/>
        </w:r>
        <w:r w:rsidRPr="007C2A38">
          <w:rPr>
            <w:rFonts w:ascii="Times New Roman" w:hAnsi="Times New Roman" w:cs="Times New Roman"/>
            <w:sz w:val="24"/>
            <w:szCs w:val="24"/>
          </w:rPr>
          <w:instrText xml:space="preserve"> PAGE   \* MERGEFORMAT </w:instrText>
        </w:r>
        <w:r w:rsidRPr="007C2A38">
          <w:rPr>
            <w:rFonts w:ascii="Times New Roman" w:hAnsi="Times New Roman" w:cs="Times New Roman"/>
            <w:sz w:val="24"/>
            <w:szCs w:val="24"/>
          </w:rPr>
          <w:fldChar w:fldCharType="separate"/>
        </w:r>
        <w:r w:rsidR="000709FA">
          <w:rPr>
            <w:rFonts w:ascii="Times New Roman" w:hAnsi="Times New Roman" w:cs="Times New Roman"/>
            <w:noProof/>
            <w:sz w:val="24"/>
            <w:szCs w:val="24"/>
          </w:rPr>
          <w:t>4</w:t>
        </w:r>
        <w:r w:rsidRPr="007C2A38">
          <w:rPr>
            <w:rFonts w:ascii="Times New Roman" w:hAnsi="Times New Roman" w:cs="Times New Roman"/>
            <w:noProof/>
            <w:sz w:val="24"/>
            <w:szCs w:val="24"/>
          </w:rPr>
          <w:fldChar w:fldCharType="end"/>
        </w:r>
      </w:p>
    </w:sdtContent>
  </w:sdt>
  <w:p w:rsidR="007C2A38" w:rsidRDefault="007C2A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9FA" w:rsidRPr="000709FA" w:rsidRDefault="000709FA">
    <w:pPr>
      <w:pStyle w:val="Header"/>
      <w:rPr>
        <w:rFonts w:ascii="Times New Roman" w:hAnsi="Times New Roman" w:cs="Times New Roman"/>
        <w:sz w:val="24"/>
        <w:szCs w:val="24"/>
      </w:rPr>
    </w:pPr>
    <w:r w:rsidRPr="000709FA">
      <w:rPr>
        <w:rFonts w:ascii="Times New Roman" w:hAnsi="Times New Roman" w:cs="Times New Roman"/>
        <w:sz w:val="24"/>
        <w:szCs w:val="24"/>
      </w:rPr>
      <w:t xml:space="preserve">Running head: ATOMIC LAYER DEPOSITION </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A90E68"/>
    <w:multiLevelType w:val="multilevel"/>
    <w:tmpl w:val="C31486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D3353C6"/>
    <w:multiLevelType w:val="multilevel"/>
    <w:tmpl w:val="51D0F1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664D6EEE"/>
    <w:multiLevelType w:val="multilevel"/>
    <w:tmpl w:val="F684D924"/>
    <w:lvl w:ilvl="0">
      <w:start w:val="1"/>
      <w:numFmt w:val="bullet"/>
      <w:lvlText w:val=""/>
      <w:lvlJc w:val="left"/>
      <w:pPr>
        <w:tabs>
          <w:tab w:val="num" w:pos="3060"/>
        </w:tabs>
        <w:ind w:left="3060" w:hanging="360"/>
      </w:pPr>
      <w:rPr>
        <w:rFonts w:ascii="Symbol" w:hAnsi="Symbol" w:hint="default"/>
        <w:sz w:val="20"/>
      </w:rPr>
    </w:lvl>
    <w:lvl w:ilvl="1">
      <w:start w:val="1"/>
      <w:numFmt w:val="lowerLetter"/>
      <w:lvlText w:val="%2."/>
      <w:lvlJc w:val="left"/>
      <w:pPr>
        <w:tabs>
          <w:tab w:val="num" w:pos="3780"/>
        </w:tabs>
        <w:ind w:left="3780" w:hanging="360"/>
      </w:pPr>
    </w:lvl>
    <w:lvl w:ilvl="2" w:tentative="1">
      <w:start w:val="1"/>
      <w:numFmt w:val="bullet"/>
      <w:lvlText w:val=""/>
      <w:lvlJc w:val="left"/>
      <w:pPr>
        <w:tabs>
          <w:tab w:val="num" w:pos="4500"/>
        </w:tabs>
        <w:ind w:left="4500" w:hanging="360"/>
      </w:pPr>
      <w:rPr>
        <w:rFonts w:ascii="Symbol" w:hAnsi="Symbol" w:hint="default"/>
        <w:sz w:val="20"/>
      </w:rPr>
    </w:lvl>
    <w:lvl w:ilvl="3" w:tentative="1">
      <w:start w:val="1"/>
      <w:numFmt w:val="bullet"/>
      <w:lvlText w:val=""/>
      <w:lvlJc w:val="left"/>
      <w:pPr>
        <w:tabs>
          <w:tab w:val="num" w:pos="5220"/>
        </w:tabs>
        <w:ind w:left="5220" w:hanging="360"/>
      </w:pPr>
      <w:rPr>
        <w:rFonts w:ascii="Symbol" w:hAnsi="Symbol" w:hint="default"/>
        <w:sz w:val="20"/>
      </w:rPr>
    </w:lvl>
    <w:lvl w:ilvl="4" w:tentative="1">
      <w:start w:val="1"/>
      <w:numFmt w:val="bullet"/>
      <w:lvlText w:val=""/>
      <w:lvlJc w:val="left"/>
      <w:pPr>
        <w:tabs>
          <w:tab w:val="num" w:pos="5940"/>
        </w:tabs>
        <w:ind w:left="5940" w:hanging="360"/>
      </w:pPr>
      <w:rPr>
        <w:rFonts w:ascii="Symbol" w:hAnsi="Symbol" w:hint="default"/>
        <w:sz w:val="20"/>
      </w:rPr>
    </w:lvl>
    <w:lvl w:ilvl="5" w:tentative="1">
      <w:start w:val="1"/>
      <w:numFmt w:val="bullet"/>
      <w:lvlText w:val=""/>
      <w:lvlJc w:val="left"/>
      <w:pPr>
        <w:tabs>
          <w:tab w:val="num" w:pos="6660"/>
        </w:tabs>
        <w:ind w:left="6660" w:hanging="360"/>
      </w:pPr>
      <w:rPr>
        <w:rFonts w:ascii="Symbol" w:hAnsi="Symbol" w:hint="default"/>
        <w:sz w:val="20"/>
      </w:rPr>
    </w:lvl>
    <w:lvl w:ilvl="6" w:tentative="1">
      <w:start w:val="1"/>
      <w:numFmt w:val="bullet"/>
      <w:lvlText w:val=""/>
      <w:lvlJc w:val="left"/>
      <w:pPr>
        <w:tabs>
          <w:tab w:val="num" w:pos="7380"/>
        </w:tabs>
        <w:ind w:left="7380" w:hanging="360"/>
      </w:pPr>
      <w:rPr>
        <w:rFonts w:ascii="Symbol" w:hAnsi="Symbol" w:hint="default"/>
        <w:sz w:val="20"/>
      </w:rPr>
    </w:lvl>
    <w:lvl w:ilvl="7" w:tentative="1">
      <w:start w:val="1"/>
      <w:numFmt w:val="bullet"/>
      <w:lvlText w:val=""/>
      <w:lvlJc w:val="left"/>
      <w:pPr>
        <w:tabs>
          <w:tab w:val="num" w:pos="8100"/>
        </w:tabs>
        <w:ind w:left="8100" w:hanging="360"/>
      </w:pPr>
      <w:rPr>
        <w:rFonts w:ascii="Symbol" w:hAnsi="Symbol" w:hint="default"/>
        <w:sz w:val="20"/>
      </w:rPr>
    </w:lvl>
    <w:lvl w:ilvl="8" w:tentative="1">
      <w:start w:val="1"/>
      <w:numFmt w:val="bullet"/>
      <w:lvlText w:val=""/>
      <w:lvlJc w:val="left"/>
      <w:pPr>
        <w:tabs>
          <w:tab w:val="num" w:pos="8820"/>
        </w:tabs>
        <w:ind w:left="882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0MDe3MDa2NDc3sjRQ0lEKTi0uzszPAykwrAUADNG3kCwAAAA="/>
  </w:docVars>
  <w:rsids>
    <w:rsidRoot w:val="00651ACA"/>
    <w:rsid w:val="00037563"/>
    <w:rsid w:val="000709FA"/>
    <w:rsid w:val="00146351"/>
    <w:rsid w:val="001B093E"/>
    <w:rsid w:val="0025340D"/>
    <w:rsid w:val="00261AD6"/>
    <w:rsid w:val="002D109D"/>
    <w:rsid w:val="00437984"/>
    <w:rsid w:val="00454E82"/>
    <w:rsid w:val="0047344A"/>
    <w:rsid w:val="00546751"/>
    <w:rsid w:val="00586DA4"/>
    <w:rsid w:val="005C0986"/>
    <w:rsid w:val="0062411B"/>
    <w:rsid w:val="00633AB7"/>
    <w:rsid w:val="00651ACA"/>
    <w:rsid w:val="006D2028"/>
    <w:rsid w:val="007124A1"/>
    <w:rsid w:val="007B578F"/>
    <w:rsid w:val="007C2A38"/>
    <w:rsid w:val="007C3010"/>
    <w:rsid w:val="0081494F"/>
    <w:rsid w:val="00A05B96"/>
    <w:rsid w:val="00A92B90"/>
    <w:rsid w:val="00AE5E81"/>
    <w:rsid w:val="00B31AA8"/>
    <w:rsid w:val="00B809F2"/>
    <w:rsid w:val="00BA1408"/>
    <w:rsid w:val="00BF0204"/>
    <w:rsid w:val="00CA3B65"/>
    <w:rsid w:val="00D90808"/>
    <w:rsid w:val="00F42700"/>
    <w:rsid w:val="00FC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FBC6D7-E7CB-4F78-9802-35BD3CAD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A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1ACA"/>
    <w:rPr>
      <w:color w:val="0000FF"/>
      <w:u w:val="single"/>
    </w:rPr>
  </w:style>
  <w:style w:type="paragraph" w:styleId="Header">
    <w:name w:val="header"/>
    <w:basedOn w:val="Normal"/>
    <w:link w:val="HeaderChar"/>
    <w:uiPriority w:val="99"/>
    <w:unhideWhenUsed/>
    <w:rsid w:val="007C2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A38"/>
  </w:style>
  <w:style w:type="paragraph" w:styleId="Footer">
    <w:name w:val="footer"/>
    <w:basedOn w:val="Normal"/>
    <w:link w:val="FooterChar"/>
    <w:uiPriority w:val="99"/>
    <w:unhideWhenUsed/>
    <w:rsid w:val="007C2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93448">
      <w:bodyDiv w:val="1"/>
      <w:marLeft w:val="0"/>
      <w:marRight w:val="0"/>
      <w:marTop w:val="0"/>
      <w:marBottom w:val="0"/>
      <w:divBdr>
        <w:top w:val="none" w:sz="0" w:space="0" w:color="auto"/>
        <w:left w:val="none" w:sz="0" w:space="0" w:color="auto"/>
        <w:bottom w:val="none" w:sz="0" w:space="0" w:color="auto"/>
        <w:right w:val="none" w:sz="0" w:space="0" w:color="auto"/>
      </w:divBdr>
    </w:div>
    <w:div w:id="1266503179">
      <w:bodyDiv w:val="1"/>
      <w:marLeft w:val="0"/>
      <w:marRight w:val="0"/>
      <w:marTop w:val="0"/>
      <w:marBottom w:val="0"/>
      <w:divBdr>
        <w:top w:val="none" w:sz="0" w:space="0" w:color="auto"/>
        <w:left w:val="none" w:sz="0" w:space="0" w:color="auto"/>
        <w:bottom w:val="none" w:sz="0" w:space="0" w:color="auto"/>
        <w:right w:val="none" w:sz="0" w:space="0" w:color="auto"/>
      </w:divBdr>
    </w:div>
    <w:div w:id="1787114128">
      <w:bodyDiv w:val="1"/>
      <w:marLeft w:val="0"/>
      <w:marRight w:val="0"/>
      <w:marTop w:val="0"/>
      <w:marBottom w:val="0"/>
      <w:divBdr>
        <w:top w:val="none" w:sz="0" w:space="0" w:color="auto"/>
        <w:left w:val="none" w:sz="0" w:space="0" w:color="auto"/>
        <w:bottom w:val="none" w:sz="0" w:space="0" w:color="auto"/>
        <w:right w:val="none" w:sz="0" w:space="0" w:color="auto"/>
      </w:divBdr>
    </w:div>
    <w:div w:id="20069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11</cp:revision>
  <dcterms:created xsi:type="dcterms:W3CDTF">2020-06-08T16:36:00Z</dcterms:created>
  <dcterms:modified xsi:type="dcterms:W3CDTF">2020-06-08T22:25:00Z</dcterms:modified>
</cp:coreProperties>
</file>