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2EA42" w14:textId="6EEC7276" w:rsidR="00C56DFB" w:rsidRPr="00DA5D51" w:rsidRDefault="00C56DFB" w:rsidP="00091EFD">
      <w:pPr>
        <w:spacing w:before="100" w:beforeAutospacing="1"/>
        <w:rPr>
          <w:rFonts w:ascii="Times New Roman" w:hAnsi="Times New Roman" w:cs="Times New Roman"/>
          <w:b/>
          <w:bCs/>
          <w:sz w:val="24"/>
          <w:szCs w:val="24"/>
        </w:rPr>
      </w:pPr>
      <w:r w:rsidRPr="00DA5D51">
        <w:rPr>
          <w:rFonts w:ascii="Times New Roman" w:hAnsi="Times New Roman" w:cs="Times New Roman"/>
          <w:b/>
          <w:bCs/>
          <w:sz w:val="24"/>
          <w:szCs w:val="24"/>
        </w:rPr>
        <w:t>Student’s Name</w:t>
      </w:r>
      <w:r w:rsidR="00AC771A" w:rsidRPr="00DA5D51">
        <w:rPr>
          <w:rFonts w:ascii="Times New Roman" w:hAnsi="Times New Roman" w:cs="Times New Roman"/>
          <w:b/>
          <w:bCs/>
          <w:sz w:val="24"/>
          <w:szCs w:val="24"/>
        </w:rPr>
        <w:t>:</w:t>
      </w:r>
    </w:p>
    <w:p w14:paraId="7FF00669" w14:textId="0D566FD9" w:rsidR="00AC771A" w:rsidRPr="00DA5D51" w:rsidRDefault="00AC771A" w:rsidP="00091EFD">
      <w:pPr>
        <w:spacing w:before="100" w:beforeAutospacing="1"/>
        <w:rPr>
          <w:rFonts w:ascii="Times New Roman" w:hAnsi="Times New Roman" w:cs="Times New Roman"/>
          <w:b/>
          <w:bCs/>
          <w:sz w:val="24"/>
          <w:szCs w:val="24"/>
        </w:rPr>
      </w:pPr>
      <w:r w:rsidRPr="00DA5D51">
        <w:rPr>
          <w:rFonts w:ascii="Times New Roman" w:hAnsi="Times New Roman" w:cs="Times New Roman"/>
          <w:b/>
          <w:bCs/>
          <w:sz w:val="24"/>
          <w:szCs w:val="24"/>
        </w:rPr>
        <w:t>Assignment:</w:t>
      </w:r>
    </w:p>
    <w:p w14:paraId="76B980D0" w14:textId="77777777" w:rsidR="00AC771A" w:rsidRDefault="00AC74F4" w:rsidP="00091EFD">
      <w:pPr>
        <w:spacing w:before="100" w:beforeAutospacing="1"/>
        <w:rPr>
          <w:rFonts w:ascii="Times New Roman" w:hAnsi="Times New Roman" w:cs="Times New Roman"/>
          <w:sz w:val="24"/>
          <w:szCs w:val="24"/>
        </w:rPr>
      </w:pPr>
      <w:r w:rsidRPr="00AC74F4">
        <w:rPr>
          <w:rFonts w:ascii="Times New Roman" w:hAnsi="Times New Roman" w:cs="Times New Roman"/>
          <w:sz w:val="24"/>
          <w:szCs w:val="24"/>
        </w:rPr>
        <w:t>To: Bob Jones</w:t>
      </w:r>
    </w:p>
    <w:p w14:paraId="129361AF" w14:textId="77777777" w:rsidR="00AC771A" w:rsidRDefault="00AC771A" w:rsidP="00091EFD">
      <w:pPr>
        <w:spacing w:before="100" w:beforeAutospacing="1"/>
        <w:rPr>
          <w:rFonts w:ascii="Times New Roman" w:hAnsi="Times New Roman" w:cs="Times New Roman"/>
          <w:color w:val="000000"/>
          <w:sz w:val="24"/>
          <w:szCs w:val="24"/>
        </w:rPr>
      </w:pPr>
      <w:r>
        <w:rPr>
          <w:rFonts w:ascii="Times New Roman" w:hAnsi="Times New Roman" w:cs="Times New Roman"/>
          <w:sz w:val="24"/>
          <w:szCs w:val="24"/>
        </w:rPr>
        <w:t>From</w:t>
      </w:r>
      <w:r w:rsidR="00AC74F4" w:rsidRPr="00AC74F4">
        <w:rPr>
          <w:rFonts w:ascii="Times New Roman" w:hAnsi="Times New Roman" w:cs="Times New Roman"/>
          <w:color w:val="000000"/>
          <w:sz w:val="24"/>
          <w:szCs w:val="24"/>
        </w:rPr>
        <w:t xml:space="preserve">: </w:t>
      </w:r>
      <w:r w:rsidRPr="00AC74F4">
        <w:rPr>
          <w:rFonts w:ascii="Times New Roman" w:hAnsi="Times New Roman" w:cs="Times New Roman"/>
          <w:color w:val="000000"/>
          <w:sz w:val="24"/>
          <w:szCs w:val="24"/>
        </w:rPr>
        <w:t>5100 Lakeshore Drive, Pensacola, FL 32502</w:t>
      </w:r>
    </w:p>
    <w:p w14:paraId="643D3423" w14:textId="3B1738A9" w:rsidR="00AC771A" w:rsidRDefault="00AC771A" w:rsidP="00091EFD">
      <w:pPr>
        <w:spacing w:before="100" w:beforeAutospacing="1"/>
        <w:rPr>
          <w:rFonts w:ascii="Times New Roman" w:hAnsi="Times New Roman" w:cs="Times New Roman"/>
          <w:color w:val="000000"/>
          <w:sz w:val="24"/>
          <w:szCs w:val="24"/>
        </w:rPr>
      </w:pPr>
      <w:r>
        <w:rPr>
          <w:rFonts w:ascii="Times New Roman" w:hAnsi="Times New Roman" w:cs="Times New Roman"/>
          <w:color w:val="000000"/>
          <w:sz w:val="24"/>
          <w:szCs w:val="24"/>
        </w:rPr>
        <w:t>Date:</w:t>
      </w:r>
    </w:p>
    <w:p w14:paraId="4596ACCA" w14:textId="7448982A" w:rsidR="00526945" w:rsidRPr="00AC771A" w:rsidRDefault="00AC771A" w:rsidP="00091EFD">
      <w:pPr>
        <w:spacing w:before="100" w:beforeAutospacing="1"/>
        <w:rPr>
          <w:rFonts w:ascii="Times New Roman" w:hAnsi="Times New Roman" w:cs="Times New Roman"/>
          <w:color w:val="000000"/>
          <w:sz w:val="24"/>
          <w:szCs w:val="24"/>
        </w:rPr>
      </w:pPr>
      <w:r w:rsidRPr="00DA5D51">
        <w:rPr>
          <w:rFonts w:ascii="Times New Roman" w:hAnsi="Times New Roman" w:cs="Times New Roman"/>
          <w:color w:val="000000"/>
          <w:sz w:val="24"/>
          <w:szCs w:val="24"/>
        </w:rPr>
        <w:t>Subject</w:t>
      </w:r>
      <w:r w:rsidR="00AC74F4" w:rsidRPr="00AC74F4">
        <w:rPr>
          <w:rFonts w:ascii="Times New Roman" w:hAnsi="Times New Roman" w:cs="Times New Roman"/>
          <w:color w:val="000000"/>
          <w:sz w:val="24"/>
          <w:szCs w:val="24"/>
        </w:rPr>
        <w:t xml:space="preserve">: </w:t>
      </w:r>
      <w:r w:rsidR="00DA5D51" w:rsidRPr="00DA5D51">
        <w:rPr>
          <w:rFonts w:ascii="Times New Roman" w:hAnsi="Times New Roman" w:cs="Times New Roman"/>
          <w:color w:val="000000"/>
          <w:sz w:val="24"/>
          <w:szCs w:val="24"/>
        </w:rPr>
        <w:t>Recommendations for tax-efficient investments and business strategies</w:t>
      </w:r>
    </w:p>
    <w:p w14:paraId="23BA4665" w14:textId="77777777" w:rsidR="00A31D0B" w:rsidRPr="00FF7914" w:rsidRDefault="00A31D0B" w:rsidP="00FF3873">
      <w:pPr>
        <w:spacing w:before="100" w:beforeAutospacing="1" w:line="480" w:lineRule="auto"/>
        <w:ind w:firstLine="720"/>
        <w:jc w:val="center"/>
        <w:rPr>
          <w:rStyle w:val="fontstyle01"/>
          <w:rFonts w:ascii="Times New Roman" w:hAnsi="Times New Roman" w:cs="Times New Roman"/>
          <w:b/>
          <w:bCs/>
          <w:sz w:val="24"/>
          <w:szCs w:val="24"/>
        </w:rPr>
      </w:pPr>
      <w:r w:rsidRPr="00FF7914">
        <w:rPr>
          <w:rStyle w:val="fontstyle01"/>
          <w:rFonts w:ascii="Times New Roman" w:hAnsi="Times New Roman" w:cs="Times New Roman"/>
          <w:b/>
          <w:bCs/>
          <w:sz w:val="24"/>
          <w:szCs w:val="24"/>
        </w:rPr>
        <w:t>My Suggested Business Structure</w:t>
      </w:r>
    </w:p>
    <w:p w14:paraId="3C2B64D6" w14:textId="77777777" w:rsidR="00A31D0B" w:rsidRPr="00FF7914" w:rsidRDefault="00A31D0B" w:rsidP="00FF3873">
      <w:pPr>
        <w:spacing w:before="100" w:beforeAutospacing="1" w:after="200" w:line="480" w:lineRule="auto"/>
        <w:ind w:firstLine="720"/>
        <w:jc w:val="both"/>
        <w:rPr>
          <w:rStyle w:val="qa-interaction-thread-content"/>
          <w:rFonts w:ascii="Times New Roman" w:hAnsi="Times New Roman" w:cs="Times New Roman"/>
          <w:sz w:val="24"/>
          <w:szCs w:val="24"/>
        </w:rPr>
      </w:pPr>
      <w:r w:rsidRPr="00FF7914">
        <w:rPr>
          <w:rStyle w:val="qa-interaction-thread-content"/>
          <w:rFonts w:ascii="Times New Roman" w:hAnsi="Times New Roman" w:cs="Times New Roman"/>
          <w:sz w:val="24"/>
          <w:szCs w:val="24"/>
        </w:rPr>
        <w:t>My suggestion is to form a corporation, which is a legal organization that protects the owners from personal accountability and company debt. This entity, as a separate entity, can purchase real estate, sue and be sued independently of its owners, and sign contracts. Furthermore, money can be obtained quickly through the sale of assets, as well as through the ownership and transfer of shares. The corporation has an indefinite life span, meaning it can continue to operate regardless of who owns it, and the tax savings can be significant. The income of this sort of organization is declared separately on a corporate tax return. A tax is formed in the following format:</w:t>
      </w:r>
    </w:p>
    <w:p w14:paraId="67C83EE8" w14:textId="77777777" w:rsidR="00A31D0B" w:rsidRPr="00FF7914" w:rsidRDefault="00A31D0B" w:rsidP="00091EFD">
      <w:pPr>
        <w:spacing w:before="100" w:beforeAutospacing="1"/>
        <w:ind w:firstLine="720"/>
        <w:jc w:val="both"/>
        <w:rPr>
          <w:rStyle w:val="qa-interaction-thread-content"/>
          <w:rFonts w:ascii="Times New Roman" w:hAnsi="Times New Roman" w:cs="Times New Roman"/>
          <w:sz w:val="24"/>
          <w:szCs w:val="24"/>
        </w:rPr>
      </w:pPr>
      <w:r w:rsidRPr="00FF7914">
        <w:rPr>
          <w:rStyle w:val="qa-interaction-thread-content"/>
          <w:rFonts w:ascii="Times New Roman" w:hAnsi="Times New Roman" w:cs="Times New Roman"/>
          <w:sz w:val="24"/>
          <w:szCs w:val="24"/>
        </w:rPr>
        <w:t>• The corporation's stock is owned by its shareholders.</w:t>
      </w:r>
    </w:p>
    <w:p w14:paraId="082229F8" w14:textId="77777777" w:rsidR="00A31D0B" w:rsidRPr="00FF7914" w:rsidRDefault="00A31D0B" w:rsidP="00091EFD">
      <w:pPr>
        <w:spacing w:before="100" w:beforeAutospacing="1"/>
        <w:ind w:firstLine="720"/>
        <w:jc w:val="both"/>
        <w:rPr>
          <w:rStyle w:val="qa-interaction-thread-content"/>
          <w:rFonts w:ascii="Times New Roman" w:hAnsi="Times New Roman" w:cs="Times New Roman"/>
          <w:sz w:val="24"/>
          <w:szCs w:val="24"/>
        </w:rPr>
      </w:pPr>
      <w:r w:rsidRPr="00FF7914">
        <w:rPr>
          <w:rStyle w:val="qa-interaction-thread-content"/>
          <w:rFonts w:ascii="Times New Roman" w:hAnsi="Times New Roman" w:cs="Times New Roman"/>
          <w:sz w:val="24"/>
          <w:szCs w:val="24"/>
        </w:rPr>
        <w:t>• The Board of Directors or the Directors are elected by the shareholders.</w:t>
      </w:r>
    </w:p>
    <w:p w14:paraId="21B0C0D9" w14:textId="77777777" w:rsidR="00A31D0B" w:rsidRPr="00FF7914" w:rsidRDefault="00A31D0B" w:rsidP="00091EFD">
      <w:pPr>
        <w:spacing w:before="100" w:beforeAutospacing="1"/>
        <w:ind w:firstLine="720"/>
        <w:jc w:val="both"/>
        <w:rPr>
          <w:rStyle w:val="qa-interaction-thread-content"/>
          <w:rFonts w:ascii="Times New Roman" w:hAnsi="Times New Roman" w:cs="Times New Roman"/>
          <w:sz w:val="24"/>
          <w:szCs w:val="24"/>
        </w:rPr>
      </w:pPr>
      <w:r w:rsidRPr="00FF7914">
        <w:rPr>
          <w:rStyle w:val="qa-interaction-thread-content"/>
          <w:rFonts w:ascii="Times New Roman" w:hAnsi="Times New Roman" w:cs="Times New Roman"/>
          <w:sz w:val="24"/>
          <w:szCs w:val="24"/>
        </w:rPr>
        <w:t>• Officers, such as the president, are appointed by the board of directors.</w:t>
      </w:r>
    </w:p>
    <w:p w14:paraId="14E30FB0" w14:textId="77777777" w:rsidR="00A31D0B" w:rsidRPr="00FF7914" w:rsidRDefault="00A31D0B" w:rsidP="00091EFD">
      <w:pPr>
        <w:spacing w:before="100" w:beforeAutospacing="1"/>
        <w:ind w:firstLine="720"/>
        <w:jc w:val="both"/>
        <w:rPr>
          <w:rStyle w:val="qa-interaction-thread-content"/>
          <w:rFonts w:ascii="Times New Roman" w:hAnsi="Times New Roman" w:cs="Times New Roman"/>
          <w:sz w:val="24"/>
          <w:szCs w:val="24"/>
        </w:rPr>
      </w:pPr>
      <w:r w:rsidRPr="00FF7914">
        <w:rPr>
          <w:rStyle w:val="qa-interaction-thread-content"/>
          <w:rFonts w:ascii="Times New Roman" w:hAnsi="Times New Roman" w:cs="Times New Roman"/>
          <w:sz w:val="24"/>
          <w:szCs w:val="24"/>
        </w:rPr>
        <w:t>• On a daily basis, officers administer the company.</w:t>
      </w:r>
    </w:p>
    <w:p w14:paraId="65DD9805" w14:textId="77777777" w:rsidR="00A31D0B" w:rsidRPr="00FF7914" w:rsidRDefault="00A31D0B" w:rsidP="00BA6C88">
      <w:pPr>
        <w:spacing w:before="100" w:beforeAutospacing="1" w:line="480" w:lineRule="auto"/>
        <w:ind w:firstLine="720"/>
        <w:jc w:val="both"/>
        <w:rPr>
          <w:rStyle w:val="qa-interaction-thread-content"/>
          <w:rFonts w:ascii="Times New Roman" w:hAnsi="Times New Roman" w:cs="Times New Roman"/>
          <w:sz w:val="24"/>
          <w:szCs w:val="24"/>
        </w:rPr>
      </w:pPr>
      <w:r w:rsidRPr="00FF7914">
        <w:rPr>
          <w:rStyle w:val="qa-interaction-thread-content"/>
          <w:rFonts w:ascii="Times New Roman" w:hAnsi="Times New Roman" w:cs="Times New Roman"/>
          <w:sz w:val="24"/>
          <w:szCs w:val="24"/>
        </w:rPr>
        <w:lastRenderedPageBreak/>
        <w:t>In most circumstances, notably during the starting phase, one is the sole owner and so elects the board of directors. Corporate Bylaws are the sets of regulations that govern how their corporations operate. This is the document that establishes the firm's rules, and it can be changed as the organization evolves. Organizing an annual meeting of shareholders and directors, preserving records of the meetings of the company's major decisions, as well as maintaining corporation adherence in general, as it ought to be or as stated in the Corporate Bylaws are all examples of activities of a corporation.</w:t>
      </w:r>
    </w:p>
    <w:p w14:paraId="011DE3CB" w14:textId="77777777" w:rsidR="00A31D0B" w:rsidRPr="00FF7914" w:rsidRDefault="00A31D0B" w:rsidP="00BA6C88">
      <w:pPr>
        <w:spacing w:before="100" w:beforeAutospacing="1" w:line="480" w:lineRule="auto"/>
        <w:ind w:firstLine="720"/>
        <w:jc w:val="both"/>
        <w:rPr>
          <w:rStyle w:val="qa-interaction-thread-content"/>
          <w:rFonts w:ascii="Times New Roman" w:hAnsi="Times New Roman" w:cs="Times New Roman"/>
          <w:sz w:val="24"/>
          <w:szCs w:val="24"/>
        </w:rPr>
      </w:pPr>
      <w:r w:rsidRPr="00FF7914">
        <w:rPr>
          <w:rStyle w:val="qa-interaction-thread-content"/>
          <w:rFonts w:ascii="Times New Roman" w:hAnsi="Times New Roman" w:cs="Times New Roman"/>
          <w:sz w:val="24"/>
          <w:szCs w:val="24"/>
        </w:rPr>
        <w:t>The benefits of a corporation company entity include: being the oldest and most prominent and profitable kind of business entity, providing personal liability protection, conveying the lingo, and perhaps lowering taxes, travel, and deductible items such as healthcare and leisure. The downsides of the corporate business entity, on the other hand, are that it is more costly to build than a DBA; it requires more formalities and protocol than an LLC, which requires the organization of shareholder/board meets, decisions, and the recording of minutes.</w:t>
      </w:r>
    </w:p>
    <w:p w14:paraId="72B88C67" w14:textId="77777777" w:rsidR="00A31D0B" w:rsidRPr="00FF7914" w:rsidRDefault="00A31D0B" w:rsidP="00091EFD">
      <w:pPr>
        <w:spacing w:before="100" w:beforeAutospacing="1"/>
        <w:jc w:val="both"/>
        <w:rPr>
          <w:rStyle w:val="qa-interaction-thread-content"/>
          <w:rFonts w:ascii="Times New Roman" w:hAnsi="Times New Roman" w:cs="Times New Roman"/>
          <w:b/>
          <w:bCs/>
          <w:sz w:val="24"/>
          <w:szCs w:val="24"/>
        </w:rPr>
      </w:pPr>
      <w:r w:rsidRPr="00FF7914">
        <w:rPr>
          <w:rStyle w:val="qa-interaction-thread-content"/>
          <w:rFonts w:ascii="Times New Roman" w:hAnsi="Times New Roman" w:cs="Times New Roman"/>
          <w:b/>
          <w:bCs/>
          <w:sz w:val="24"/>
          <w:szCs w:val="24"/>
        </w:rPr>
        <w:t>Cash basis vs. accrual</w:t>
      </w:r>
    </w:p>
    <w:p w14:paraId="2CEF4B53" w14:textId="77777777" w:rsidR="00A31D0B" w:rsidRPr="00FF7914" w:rsidRDefault="00A31D0B" w:rsidP="00BA6C88">
      <w:pPr>
        <w:spacing w:before="100" w:beforeAutospacing="1" w:line="480" w:lineRule="auto"/>
        <w:jc w:val="both"/>
        <w:rPr>
          <w:rStyle w:val="qa-interaction-thread-content"/>
          <w:rFonts w:ascii="Times New Roman" w:hAnsi="Times New Roman" w:cs="Times New Roman"/>
          <w:sz w:val="24"/>
          <w:szCs w:val="24"/>
        </w:rPr>
      </w:pPr>
      <w:r w:rsidRPr="00FF7914">
        <w:rPr>
          <w:rStyle w:val="qa-interaction-thread-content"/>
          <w:rFonts w:ascii="Times New Roman" w:hAnsi="Times New Roman" w:cs="Times New Roman"/>
          <w:sz w:val="24"/>
          <w:szCs w:val="24"/>
        </w:rPr>
        <w:t>Small businesses of all sorts, according to Cam M, (2016), can use whichever accounting system they desire, including cash and accrual. When using the cash method, the corporation typically counts income when it receives payment and costs when it pays them. The accrual basis technique allows the organization to count costs as soon as they are made, irrespective of how often the money is exchanged.</w:t>
      </w:r>
    </w:p>
    <w:p w14:paraId="73297090" w14:textId="77777777" w:rsidR="00A31D0B" w:rsidRPr="00FF7914" w:rsidRDefault="00A31D0B" w:rsidP="00091EFD">
      <w:pPr>
        <w:spacing w:before="100" w:beforeAutospacing="1"/>
        <w:jc w:val="both"/>
        <w:rPr>
          <w:rStyle w:val="qa-interaction-thread-content"/>
          <w:rFonts w:ascii="Times New Roman" w:hAnsi="Times New Roman" w:cs="Times New Roman"/>
          <w:b/>
          <w:bCs/>
          <w:sz w:val="24"/>
          <w:szCs w:val="24"/>
        </w:rPr>
      </w:pPr>
      <w:r w:rsidRPr="00FF7914">
        <w:rPr>
          <w:rStyle w:val="qa-interaction-thread-content"/>
          <w:rFonts w:ascii="Times New Roman" w:hAnsi="Times New Roman" w:cs="Times New Roman"/>
          <w:b/>
          <w:bCs/>
          <w:sz w:val="24"/>
          <w:szCs w:val="24"/>
        </w:rPr>
        <w:t>The price of preparing the returns</w:t>
      </w:r>
    </w:p>
    <w:p w14:paraId="17D0341C" w14:textId="77777777" w:rsidR="00A31D0B" w:rsidRPr="00FF7914" w:rsidRDefault="00A31D0B" w:rsidP="00BA6C88">
      <w:pPr>
        <w:spacing w:before="100" w:beforeAutospacing="1" w:line="480" w:lineRule="auto"/>
        <w:jc w:val="both"/>
        <w:rPr>
          <w:rStyle w:val="qa-interaction-thread-content"/>
          <w:rFonts w:ascii="Times New Roman" w:hAnsi="Times New Roman" w:cs="Times New Roman"/>
          <w:sz w:val="24"/>
          <w:szCs w:val="24"/>
        </w:rPr>
      </w:pPr>
      <w:r w:rsidRPr="00FF7914">
        <w:rPr>
          <w:rStyle w:val="qa-interaction-thread-content"/>
          <w:rFonts w:ascii="Times New Roman" w:hAnsi="Times New Roman" w:cs="Times New Roman"/>
          <w:sz w:val="24"/>
          <w:szCs w:val="24"/>
        </w:rPr>
        <w:lastRenderedPageBreak/>
        <w:t>Majority of proprietors of businesses, especially new ones, fail to understand the corporate status. Actually, S companies are used by the majority of enterprises.</w:t>
      </w:r>
    </w:p>
    <w:p w14:paraId="296BC9F3" w14:textId="77777777" w:rsidR="00A31D0B" w:rsidRPr="00FF7914" w:rsidRDefault="00A31D0B" w:rsidP="00091EFD">
      <w:pPr>
        <w:spacing w:before="100" w:beforeAutospacing="1"/>
        <w:jc w:val="both"/>
        <w:rPr>
          <w:rStyle w:val="qa-interaction-thread-content"/>
          <w:rFonts w:ascii="Times New Roman" w:hAnsi="Times New Roman" w:cs="Times New Roman"/>
          <w:b/>
          <w:bCs/>
          <w:sz w:val="24"/>
          <w:szCs w:val="24"/>
        </w:rPr>
      </w:pPr>
      <w:r w:rsidRPr="00FF7914">
        <w:rPr>
          <w:rStyle w:val="qa-interaction-thread-content"/>
          <w:rFonts w:ascii="Times New Roman" w:hAnsi="Times New Roman" w:cs="Times New Roman"/>
          <w:b/>
          <w:bCs/>
          <w:sz w:val="24"/>
          <w:szCs w:val="24"/>
        </w:rPr>
        <w:t>The tax benefits</w:t>
      </w:r>
    </w:p>
    <w:p w14:paraId="272F3676" w14:textId="77777777" w:rsidR="00A31D0B" w:rsidRPr="00FF7914" w:rsidRDefault="00A31D0B" w:rsidP="00BA6C88">
      <w:pPr>
        <w:spacing w:before="100" w:beforeAutospacing="1" w:line="480" w:lineRule="auto"/>
        <w:jc w:val="both"/>
        <w:rPr>
          <w:rStyle w:val="qa-interaction-thread-content"/>
          <w:rFonts w:ascii="Times New Roman" w:hAnsi="Times New Roman" w:cs="Times New Roman"/>
          <w:sz w:val="24"/>
          <w:szCs w:val="24"/>
        </w:rPr>
      </w:pPr>
      <w:r w:rsidRPr="00FF7914">
        <w:rPr>
          <w:rStyle w:val="qa-interaction-thread-content"/>
          <w:rFonts w:ascii="Times New Roman" w:hAnsi="Times New Roman" w:cs="Times New Roman"/>
          <w:sz w:val="24"/>
          <w:szCs w:val="24"/>
        </w:rPr>
        <w:t>Corporate companies can take advantage of a variety of tax perks and advantages. This might include deductibility of deficits for a corporation, but a private or personal single proprietorship must demonstrate that there was previously a profit motivation. Profits can be retained by the corporation for continued growth of the same firm, which might benefit profits and salaries.</w:t>
      </w:r>
    </w:p>
    <w:p w14:paraId="594915C5" w14:textId="77777777" w:rsidR="00A31D0B" w:rsidRPr="00FF7914" w:rsidRDefault="00A31D0B" w:rsidP="008354FF">
      <w:pPr>
        <w:spacing w:before="100" w:beforeAutospacing="1"/>
        <w:jc w:val="both"/>
        <w:rPr>
          <w:rStyle w:val="qa-interaction-thread-content"/>
          <w:rFonts w:ascii="Times New Roman" w:hAnsi="Times New Roman" w:cs="Times New Roman"/>
          <w:b/>
          <w:bCs/>
          <w:sz w:val="24"/>
          <w:szCs w:val="24"/>
        </w:rPr>
      </w:pPr>
      <w:r w:rsidRPr="00FF7914">
        <w:rPr>
          <w:rStyle w:val="qa-interaction-thread-content"/>
          <w:rFonts w:ascii="Times New Roman" w:hAnsi="Times New Roman" w:cs="Times New Roman"/>
          <w:b/>
          <w:bCs/>
          <w:sz w:val="24"/>
          <w:szCs w:val="24"/>
        </w:rPr>
        <w:t>The limited liability protection</w:t>
      </w:r>
    </w:p>
    <w:p w14:paraId="63D51CA7" w14:textId="77777777" w:rsidR="00A31D0B" w:rsidRPr="00FF7914" w:rsidRDefault="00A31D0B" w:rsidP="00BA6C88">
      <w:pPr>
        <w:spacing w:before="100" w:beforeAutospacing="1" w:line="480" w:lineRule="auto"/>
        <w:jc w:val="both"/>
        <w:rPr>
          <w:rStyle w:val="qa-interaction-thread-content"/>
          <w:rFonts w:ascii="Times New Roman" w:hAnsi="Times New Roman" w:cs="Times New Roman"/>
          <w:sz w:val="24"/>
          <w:szCs w:val="24"/>
        </w:rPr>
      </w:pPr>
      <w:r w:rsidRPr="00FF7914">
        <w:rPr>
          <w:rStyle w:val="qa-interaction-thread-content"/>
          <w:rFonts w:ascii="Times New Roman" w:hAnsi="Times New Roman" w:cs="Times New Roman"/>
          <w:sz w:val="24"/>
          <w:szCs w:val="24"/>
        </w:rPr>
        <w:t>Confined liability refers to the LLC's duties, obligations, and debts that are bound to its own investments. Among the most inherent benefits of a liability limited business is this. To put it another way, if the firm is sued, the individual's personal assets, such as property investment and bank accounts, are protected. As such, only the money invested in the firm can be lost.</w:t>
      </w:r>
    </w:p>
    <w:p w14:paraId="01B916B4" w14:textId="77777777" w:rsidR="00A31D0B" w:rsidRPr="00FF7914" w:rsidRDefault="00A31D0B" w:rsidP="00091EFD">
      <w:pPr>
        <w:spacing w:before="100" w:beforeAutospacing="1"/>
        <w:jc w:val="both"/>
        <w:rPr>
          <w:rStyle w:val="qa-interaction-thread-content"/>
          <w:rFonts w:ascii="Times New Roman" w:hAnsi="Times New Roman" w:cs="Times New Roman"/>
          <w:b/>
          <w:bCs/>
          <w:sz w:val="24"/>
          <w:szCs w:val="24"/>
        </w:rPr>
      </w:pPr>
      <w:r w:rsidRPr="00FF7914">
        <w:rPr>
          <w:rStyle w:val="qa-interaction-thread-content"/>
          <w:rFonts w:ascii="Times New Roman" w:hAnsi="Times New Roman" w:cs="Times New Roman"/>
          <w:b/>
          <w:bCs/>
          <w:sz w:val="24"/>
          <w:szCs w:val="24"/>
        </w:rPr>
        <w:t>Employee benefits</w:t>
      </w:r>
    </w:p>
    <w:p w14:paraId="42C19A14" w14:textId="556A3A32" w:rsidR="00A31D0B" w:rsidRPr="00FF7914" w:rsidRDefault="00A31D0B" w:rsidP="00BA6C88">
      <w:pPr>
        <w:spacing w:before="100" w:beforeAutospacing="1" w:line="480" w:lineRule="auto"/>
        <w:ind w:firstLine="720"/>
        <w:jc w:val="both"/>
        <w:rPr>
          <w:rStyle w:val="qa-interaction-thread-content"/>
          <w:rFonts w:ascii="Times New Roman" w:hAnsi="Times New Roman" w:cs="Times New Roman"/>
          <w:sz w:val="24"/>
          <w:szCs w:val="24"/>
        </w:rPr>
      </w:pPr>
      <w:r w:rsidRPr="00FF7914">
        <w:rPr>
          <w:rStyle w:val="qa-interaction-thread-content"/>
          <w:rFonts w:ascii="Times New Roman" w:hAnsi="Times New Roman" w:cs="Times New Roman"/>
          <w:sz w:val="24"/>
          <w:szCs w:val="24"/>
        </w:rPr>
        <w:t>A firm with an incorporated form enjoys a number of advantages, including liability protection, ease of expansion, and transferability. There are certain drawbacks to incorporating a company.</w:t>
      </w:r>
      <w:r w:rsidR="003677F5">
        <w:rPr>
          <w:rStyle w:val="qa-interaction-thread-content"/>
          <w:rFonts w:ascii="Times New Roman" w:hAnsi="Times New Roman" w:cs="Times New Roman"/>
          <w:sz w:val="24"/>
          <w:szCs w:val="24"/>
        </w:rPr>
        <w:t xml:space="preserve"> </w:t>
      </w:r>
      <w:r w:rsidRPr="00FF7914">
        <w:rPr>
          <w:rStyle w:val="qa-interaction-thread-content"/>
          <w:rFonts w:ascii="Times New Roman" w:hAnsi="Times New Roman" w:cs="Times New Roman"/>
          <w:sz w:val="24"/>
          <w:szCs w:val="24"/>
        </w:rPr>
        <w:t>In summary, the corporation tax code refers to the Presidential Decree or Executive Order No. 226, also referred to as the Omnibus Investments Code of 1987, as modified. The tax code for corporations for this corporation states that taxing is the basic notion for the methods utilized by the state to obtain cash and extra priceless items from organizations or persons, and that as a business, it is responsible for paying taxes.</w:t>
      </w:r>
    </w:p>
    <w:p w14:paraId="008468E2" w14:textId="77777777" w:rsidR="00FC2022" w:rsidRPr="00FF7914" w:rsidRDefault="00FC2022" w:rsidP="00091EFD">
      <w:pPr>
        <w:spacing w:before="100" w:beforeAutospacing="1" w:afterLines="800" w:after="1920"/>
        <w:ind w:firstLine="720"/>
        <w:contextualSpacing/>
        <w:jc w:val="center"/>
        <w:rPr>
          <w:rFonts w:ascii="Times New Roman" w:hAnsi="Times New Roman" w:cs="Times New Roman"/>
          <w:b/>
          <w:bCs/>
          <w:sz w:val="24"/>
          <w:szCs w:val="24"/>
        </w:rPr>
      </w:pPr>
      <w:r w:rsidRPr="00FF7914">
        <w:rPr>
          <w:rFonts w:ascii="Times New Roman" w:hAnsi="Times New Roman" w:cs="Times New Roman"/>
          <w:b/>
          <w:bCs/>
          <w:sz w:val="24"/>
          <w:szCs w:val="24"/>
        </w:rPr>
        <w:t>The difference in taxation between salary and dividend payments.</w:t>
      </w:r>
    </w:p>
    <w:p w14:paraId="72B8565A" w14:textId="77777777" w:rsidR="00FC2022" w:rsidRPr="00FF7914" w:rsidRDefault="00FC2022" w:rsidP="00BA6C88">
      <w:pPr>
        <w:spacing w:before="100" w:beforeAutospacing="1" w:afterLines="160" w:after="384" w:line="480" w:lineRule="auto"/>
        <w:ind w:firstLine="720"/>
        <w:contextualSpacing/>
        <w:jc w:val="both"/>
        <w:rPr>
          <w:rFonts w:ascii="Times New Roman" w:hAnsi="Times New Roman" w:cs="Times New Roman"/>
          <w:sz w:val="24"/>
          <w:szCs w:val="24"/>
        </w:rPr>
      </w:pPr>
      <w:r w:rsidRPr="00FF7914">
        <w:rPr>
          <w:rFonts w:ascii="Times New Roman" w:hAnsi="Times New Roman" w:cs="Times New Roman"/>
          <w:sz w:val="24"/>
          <w:szCs w:val="24"/>
        </w:rPr>
        <w:lastRenderedPageBreak/>
        <w:t>These taxes can play to raise revenues addressing inequalities and improve the tax system in the future. CAT is the tax for inheritance and gifts. Someone can receive inheritances and gifts up to a value that is set before beginning to pay CAT (Lawless and Lynch, 2017). The due tax is paid at 33% if it is overdue. The disponer gives the inheritance or gift, while the person who receives the gift or inheritance is the beneficiary. If the disponer dies within two years, the gift becomes inheritance. CAT is paid on cash, house or land, cars, stocks and shares and many more. If the father wants to give gifts to the daughter or inheritances, she will have to pay tax million with a tax of $2 million and $0.4 million. There are other assets of the business like, business cars, stocks and many others.</w:t>
      </w:r>
    </w:p>
    <w:p w14:paraId="24D5BA00" w14:textId="77777777" w:rsidR="00FC2022" w:rsidRPr="00FF7914" w:rsidRDefault="00FC2022" w:rsidP="00BA6C88">
      <w:pPr>
        <w:spacing w:before="100" w:beforeAutospacing="1" w:afterLines="160" w:after="384" w:line="480" w:lineRule="auto"/>
        <w:ind w:firstLine="720"/>
        <w:jc w:val="both"/>
        <w:rPr>
          <w:rFonts w:ascii="Times New Roman" w:hAnsi="Times New Roman" w:cs="Times New Roman"/>
          <w:sz w:val="24"/>
          <w:szCs w:val="24"/>
        </w:rPr>
      </w:pPr>
      <w:r w:rsidRPr="00FF7914">
        <w:rPr>
          <w:rFonts w:ascii="Times New Roman" w:hAnsi="Times New Roman" w:cs="Times New Roman"/>
          <w:sz w:val="24"/>
          <w:szCs w:val="24"/>
        </w:rPr>
        <w:t>Because the father's (client's) firm is a S corporation, it is not liable for corporate income tax, but it is taxed in the same way that partnerships are (Nitti, 2013). Salaries distributed to investors are eligible for federal and FICA taxation. The client will, nevertheless, be required to pay tax on his dividends. Although he must incur a 20% rate of tax on dividends, he can save a lot of money since he will not have to face the federal income tax rate of 39.6%. The daughter, on the other hand, earned a salary of $70,000 each year. In her instance, whether she is paid by salary or dividend has no impact. The firm can subtract the amount of gross salary it owes to workers and stockholders to arrive at net income, which will be passed on to the investors and taxed on their tax returns. As a result, will lead to double taxation, which will increase the expenses of the organization. Thus, the best way to avoid extra taxation is to make the company a corporation, which will help save some of the money to the shareholders. The organization can also retain some of the money for growth and development for the products she has inherited from her father’s business.</w:t>
      </w:r>
    </w:p>
    <w:p w14:paraId="364D6865" w14:textId="77777777" w:rsidR="00FC2022" w:rsidRPr="00FF7914" w:rsidRDefault="00FC2022" w:rsidP="00BA6C88">
      <w:pPr>
        <w:spacing w:before="100" w:beforeAutospacing="1" w:afterLines="160" w:after="384" w:line="480" w:lineRule="auto"/>
        <w:ind w:firstLine="720"/>
        <w:jc w:val="both"/>
        <w:rPr>
          <w:rFonts w:ascii="Times New Roman" w:hAnsi="Times New Roman" w:cs="Times New Roman"/>
          <w:sz w:val="24"/>
          <w:szCs w:val="24"/>
        </w:rPr>
      </w:pPr>
      <w:r w:rsidRPr="00FF7914">
        <w:rPr>
          <w:rFonts w:ascii="Times New Roman" w:hAnsi="Times New Roman" w:cs="Times New Roman"/>
          <w:sz w:val="24"/>
          <w:szCs w:val="24"/>
        </w:rPr>
        <w:lastRenderedPageBreak/>
        <w:t>Notably, Dividends are taxed differently than salaries since they are regarded a return on an investment rather than a service done (</w:t>
      </w:r>
      <w:proofErr w:type="spellStart"/>
      <w:r w:rsidRPr="00FF7914">
        <w:rPr>
          <w:rFonts w:ascii="Times New Roman" w:hAnsi="Times New Roman" w:cs="Times New Roman"/>
          <w:sz w:val="24"/>
          <w:szCs w:val="24"/>
        </w:rPr>
        <w:t>Aquilio</w:t>
      </w:r>
      <w:proofErr w:type="spellEnd"/>
      <w:r w:rsidRPr="00FF7914">
        <w:rPr>
          <w:rFonts w:ascii="Times New Roman" w:hAnsi="Times New Roman" w:cs="Times New Roman"/>
          <w:sz w:val="24"/>
          <w:szCs w:val="24"/>
        </w:rPr>
        <w:t>, 2019). Dividends must still be reported on a taxable income, but they are exempt from FICA and self-employment taxes. An S corporation's tax provisions allow money to go solely to the investors, exempting the company from incurring business taxes. Last year, the client had a substantial tax liability. He will have to pay more taxes if he earns an extra $180,000 in compensation. Therefore, he may split $180,000 between salary and dividends. As a result, he should give himself a fair wage and distribute the rest as dividends.</w:t>
      </w:r>
    </w:p>
    <w:p w14:paraId="78FDECB5" w14:textId="1BE7AF11" w:rsidR="00FC2022" w:rsidRPr="00FF7914" w:rsidRDefault="00102E98" w:rsidP="00BA6C88">
      <w:pPr>
        <w:spacing w:before="100" w:beforeAutospacing="1" w:line="480" w:lineRule="auto"/>
        <w:ind w:firstLine="720"/>
        <w:contextualSpacing/>
        <w:jc w:val="both"/>
        <w:rPr>
          <w:rFonts w:ascii="Times New Roman" w:hAnsi="Times New Roman" w:cs="Times New Roman"/>
          <w:sz w:val="24"/>
          <w:szCs w:val="24"/>
        </w:rPr>
      </w:pPr>
      <w:r w:rsidRPr="00FF7914">
        <w:rPr>
          <w:rFonts w:ascii="Times New Roman" w:hAnsi="Times New Roman" w:cs="Times New Roman"/>
          <w:sz w:val="24"/>
          <w:szCs w:val="24"/>
        </w:rPr>
        <w:t>In sum, t</w:t>
      </w:r>
      <w:r w:rsidR="00FC2022" w:rsidRPr="00FF7914">
        <w:rPr>
          <w:rFonts w:ascii="Times New Roman" w:hAnsi="Times New Roman" w:cs="Times New Roman"/>
          <w:sz w:val="24"/>
          <w:szCs w:val="24"/>
        </w:rPr>
        <w:t>he client’s salary and that of the father ($180, 0000) and daughter ($70, 000) are both subject to tax effects which is a payroll tax.  The tax is deductible to the corporation. There will be double taxation if cash is withdrawn or paying the dividends because it is already taxed on the corporate profits. Thus, if the client and the daughter pay dividends and withdraw cash their tax will be 23.8% instead of 39.6%.</w:t>
      </w:r>
    </w:p>
    <w:p w14:paraId="406EE579" w14:textId="77777777" w:rsidR="00FC2022" w:rsidRPr="00FF7914" w:rsidRDefault="00FC2022" w:rsidP="00BA6C88">
      <w:pPr>
        <w:spacing w:before="100" w:beforeAutospacing="1" w:line="480" w:lineRule="auto"/>
        <w:ind w:firstLine="720"/>
        <w:contextualSpacing/>
        <w:jc w:val="both"/>
        <w:rPr>
          <w:rFonts w:ascii="Times New Roman" w:hAnsi="Times New Roman" w:cs="Times New Roman"/>
          <w:sz w:val="24"/>
          <w:szCs w:val="24"/>
        </w:rPr>
      </w:pPr>
      <w:r w:rsidRPr="00FF7914">
        <w:rPr>
          <w:rFonts w:ascii="Times New Roman" w:hAnsi="Times New Roman" w:cs="Times New Roman"/>
          <w:color w:val="16192B"/>
          <w:sz w:val="24"/>
          <w:szCs w:val="24"/>
          <w:shd w:val="clear" w:color="auto" w:fill="FFFFFF"/>
        </w:rPr>
        <w:t>The client’s daughter is entitled to a good percentage of the total sum percentage that is fully explained by the percentage rights of ownership she has. Out of the $70, 000, she is entitled to more than ten percent up to $10000. Therefore, the client must split the $180,000 payout between salary and dividends, whereas the daughter can take home $70,000 since her income tax band is lesser than the father's. Consequently, the current ownership shares of 40% will stay unchanged and the daughter's wages will be maintained.</w:t>
      </w:r>
    </w:p>
    <w:p w14:paraId="79662766" w14:textId="77777777" w:rsidR="00FC2022" w:rsidRPr="00FF7914" w:rsidRDefault="00FC2022" w:rsidP="00BA6C88">
      <w:pPr>
        <w:spacing w:before="100" w:beforeAutospacing="1" w:line="480" w:lineRule="auto"/>
        <w:ind w:firstLine="720"/>
        <w:contextualSpacing/>
        <w:jc w:val="both"/>
        <w:rPr>
          <w:rFonts w:ascii="Times New Roman" w:hAnsi="Times New Roman" w:cs="Times New Roman"/>
          <w:sz w:val="24"/>
          <w:szCs w:val="24"/>
        </w:rPr>
      </w:pPr>
      <w:r w:rsidRPr="00FF7914">
        <w:rPr>
          <w:rFonts w:ascii="Times New Roman" w:hAnsi="Times New Roman" w:cs="Times New Roman"/>
          <w:sz w:val="24"/>
          <w:szCs w:val="24"/>
        </w:rPr>
        <w:t>In my opinion, the percentage that will result to the daughter’s ownership will be deducting the percentage payroll from the divided which is 39.6% - 23.8% = 15.8%. Therefore, if the daughter allows herself to take the divided rather than the salary, she will benefit more since she will earn a reasonable pay since she will be tax free that is if she allows the tax liability to be on the returns.</w:t>
      </w:r>
    </w:p>
    <w:p w14:paraId="38CEE279" w14:textId="77777777" w:rsidR="00FC2022" w:rsidRPr="00FF7914" w:rsidRDefault="00FC2022" w:rsidP="00091EFD">
      <w:pPr>
        <w:spacing w:before="100" w:beforeAutospacing="1"/>
        <w:contextualSpacing/>
        <w:jc w:val="center"/>
        <w:rPr>
          <w:rStyle w:val="markedcontent"/>
          <w:rFonts w:ascii="Times New Roman" w:hAnsi="Times New Roman" w:cs="Times New Roman"/>
          <w:b/>
          <w:sz w:val="24"/>
          <w:szCs w:val="24"/>
        </w:rPr>
      </w:pPr>
      <w:r w:rsidRPr="00FF7914">
        <w:rPr>
          <w:rStyle w:val="markedcontent"/>
          <w:rFonts w:ascii="Times New Roman" w:hAnsi="Times New Roman" w:cs="Times New Roman"/>
          <w:b/>
          <w:sz w:val="24"/>
          <w:szCs w:val="24"/>
        </w:rPr>
        <w:lastRenderedPageBreak/>
        <w:t>Tax Planning Proposal.</w:t>
      </w:r>
    </w:p>
    <w:p w14:paraId="73D31977" w14:textId="0ED22495" w:rsidR="00FC2022" w:rsidRDefault="00FC2022" w:rsidP="00BA6C88">
      <w:pPr>
        <w:spacing w:before="100" w:beforeAutospacing="1" w:line="480" w:lineRule="auto"/>
        <w:ind w:firstLine="720"/>
        <w:contextualSpacing/>
        <w:jc w:val="both"/>
        <w:rPr>
          <w:rFonts w:ascii="Times New Roman" w:hAnsi="Times New Roman" w:cs="Times New Roman"/>
          <w:sz w:val="24"/>
          <w:szCs w:val="24"/>
        </w:rPr>
      </w:pPr>
      <w:r w:rsidRPr="00FF7914">
        <w:rPr>
          <w:rFonts w:ascii="Times New Roman" w:hAnsi="Times New Roman" w:cs="Times New Roman"/>
          <w:sz w:val="24"/>
          <w:szCs w:val="24"/>
        </w:rPr>
        <w:t xml:space="preserve">The client is scared of what will happen to his assets after he is dead. In this case, the client had created a partnership with his daughter. He has then begun to plan for his benefits now that he can control where money is being used and where it is not. According to </w:t>
      </w:r>
      <w:r w:rsidRPr="00FF7914">
        <w:rPr>
          <w:rFonts w:ascii="Times New Roman" w:eastAsia="Times New Roman" w:hAnsi="Times New Roman" w:cs="Times New Roman"/>
          <w:sz w:val="24"/>
          <w:szCs w:val="24"/>
        </w:rPr>
        <w:t xml:space="preserve">Chamberlain (2021), </w:t>
      </w:r>
      <w:r w:rsidRPr="00FF7914">
        <w:rPr>
          <w:rFonts w:ascii="Times New Roman" w:hAnsi="Times New Roman" w:cs="Times New Roman"/>
          <w:sz w:val="24"/>
          <w:szCs w:val="24"/>
        </w:rPr>
        <w:t>establishing a trust fund, gifts, and will is how the family will benefit from the business. Additionally, his assets will be secured when he dies, and his family too since he will save some money from tax reliefs.</w:t>
      </w:r>
    </w:p>
    <w:p w14:paraId="50F4F2E4" w14:textId="7CD3EAB2" w:rsidR="00DF1723" w:rsidRPr="00985402" w:rsidRDefault="00A517FB" w:rsidP="00001B4F">
      <w:pPr>
        <w:spacing w:before="100" w:beforeAutospacing="1" w:line="480" w:lineRule="auto"/>
        <w:ind w:firstLine="720"/>
        <w:jc w:val="both"/>
        <w:rPr>
          <w:rFonts w:ascii="Times New Roman" w:hAnsi="Times New Roman" w:cs="Times New Roman"/>
          <w:sz w:val="24"/>
          <w:szCs w:val="24"/>
        </w:rPr>
      </w:pPr>
      <w:r w:rsidRPr="00A517FB">
        <w:rPr>
          <w:rFonts w:ascii="Times New Roman" w:hAnsi="Times New Roman" w:cs="Times New Roman"/>
          <w:sz w:val="24"/>
          <w:szCs w:val="24"/>
        </w:rPr>
        <w:t>It is a comprehensive plan for employing, enjoying, and transferring of assets both during and after a person's lifetime. In other words, it entails the execution of a will. Whenever a client dies, further trusts are created to ensure that his or her possessions is handed onto beneficiaries while also saving money on taxes (Barth et al., 2016). To do this, the trustee holds the property in a way that minimizes estate taxes while also preventing creditors, spouses, and other interested parties from interfering. The latter can be accomplished by requiring the successor trustees to keep the minor's cash and assets until they reach legal age. Finally, private living trust management can help family avoid costly public validating processes by reducing their financial and personal burdens (Michael &amp; Gagliardi, 2016)</w:t>
      </w:r>
      <w:r w:rsidR="00DF1723" w:rsidRPr="00985402">
        <w:rPr>
          <w:rFonts w:ascii="Times New Roman" w:hAnsi="Times New Roman" w:cs="Times New Roman"/>
          <w:sz w:val="24"/>
          <w:szCs w:val="24"/>
        </w:rPr>
        <w:t>.</w:t>
      </w:r>
    </w:p>
    <w:p w14:paraId="0484DE73" w14:textId="77777777" w:rsidR="00FC2022" w:rsidRPr="00FF7914" w:rsidRDefault="00FC2022" w:rsidP="00091EFD">
      <w:pPr>
        <w:spacing w:before="100" w:beforeAutospacing="1"/>
        <w:ind w:firstLine="720"/>
        <w:contextualSpacing/>
        <w:jc w:val="center"/>
        <w:rPr>
          <w:rStyle w:val="markedcontent"/>
          <w:rFonts w:ascii="Times New Roman" w:hAnsi="Times New Roman" w:cs="Times New Roman"/>
          <w:b/>
          <w:sz w:val="24"/>
          <w:szCs w:val="24"/>
        </w:rPr>
      </w:pPr>
      <w:r w:rsidRPr="00FF7914">
        <w:rPr>
          <w:rStyle w:val="markedcontent"/>
          <w:rFonts w:ascii="Times New Roman" w:hAnsi="Times New Roman" w:cs="Times New Roman"/>
          <w:b/>
          <w:sz w:val="24"/>
          <w:szCs w:val="24"/>
        </w:rPr>
        <w:t>Strategic Plan</w:t>
      </w:r>
    </w:p>
    <w:p w14:paraId="78568AC3" w14:textId="77777777" w:rsidR="00FC2022" w:rsidRPr="00FF7914" w:rsidRDefault="00FC2022" w:rsidP="00BA6C88">
      <w:pPr>
        <w:spacing w:before="100" w:beforeAutospacing="1" w:line="480" w:lineRule="auto"/>
        <w:ind w:firstLine="720"/>
        <w:contextualSpacing/>
        <w:jc w:val="both"/>
        <w:rPr>
          <w:rFonts w:ascii="Times New Roman" w:hAnsi="Times New Roman" w:cs="Times New Roman"/>
          <w:sz w:val="24"/>
          <w:szCs w:val="24"/>
        </w:rPr>
      </w:pPr>
      <w:r w:rsidRPr="00FF7914">
        <w:rPr>
          <w:rFonts w:ascii="Times New Roman" w:hAnsi="Times New Roman" w:cs="Times New Roman"/>
          <w:sz w:val="24"/>
          <w:szCs w:val="24"/>
        </w:rPr>
        <w:t xml:space="preserve">The client will be advantaged when he is conversant with the tax codes; in that way, he will be responsible for what needs to happen to his or the estate. He must document what will happen when he dies and who will initiate the process. As such, the person should follow the will. </w:t>
      </w:r>
    </w:p>
    <w:p w14:paraId="2B164264" w14:textId="77777777" w:rsidR="00FC2022" w:rsidRPr="00FF7914" w:rsidRDefault="00FC2022" w:rsidP="00BA6C88">
      <w:pPr>
        <w:spacing w:before="100" w:beforeAutospacing="1" w:line="480" w:lineRule="auto"/>
        <w:ind w:firstLine="720"/>
        <w:contextualSpacing/>
        <w:jc w:val="both"/>
        <w:rPr>
          <w:rFonts w:ascii="Times New Roman" w:hAnsi="Times New Roman" w:cs="Times New Roman"/>
          <w:sz w:val="24"/>
          <w:szCs w:val="24"/>
        </w:rPr>
      </w:pPr>
      <w:r w:rsidRPr="00FF7914">
        <w:rPr>
          <w:rFonts w:ascii="Times New Roman" w:hAnsi="Times New Roman" w:cs="Times New Roman"/>
          <w:sz w:val="24"/>
          <w:szCs w:val="24"/>
        </w:rPr>
        <w:t xml:space="preserve">A deductible tax of an estate is reduced by any credits endorsed on the dutiable estate. The client’s sum amounts in the land and other investments cannot be included in the income and has to be shared with the family. The asset will be received as a gift if given as a gift; however, it will </w:t>
      </w:r>
      <w:r w:rsidRPr="00FF7914">
        <w:rPr>
          <w:rFonts w:ascii="Times New Roman" w:hAnsi="Times New Roman" w:cs="Times New Roman"/>
          <w:sz w:val="24"/>
          <w:szCs w:val="24"/>
        </w:rPr>
        <w:lastRenderedPageBreak/>
        <w:t>be taxed if the gift generates income later like dividends, interests, or rent. The revenue from the assets offered to credited, distributed, or paid trust is taxed as income. The purpose of the client is to ensure that his daughter becomes active in businesses (Cardella, 2020).</w:t>
      </w:r>
    </w:p>
    <w:p w14:paraId="0FFDD15F" w14:textId="77777777" w:rsidR="00FC2022" w:rsidRPr="00FF7914" w:rsidRDefault="00FC2022" w:rsidP="00091EFD">
      <w:pPr>
        <w:spacing w:before="100" w:beforeAutospacing="1"/>
        <w:ind w:firstLine="720"/>
        <w:contextualSpacing/>
        <w:jc w:val="center"/>
        <w:rPr>
          <w:rStyle w:val="markedcontent"/>
          <w:rFonts w:ascii="Times New Roman" w:hAnsi="Times New Roman" w:cs="Times New Roman"/>
          <w:b/>
          <w:sz w:val="24"/>
          <w:szCs w:val="24"/>
        </w:rPr>
      </w:pPr>
      <w:r w:rsidRPr="00FF7914">
        <w:rPr>
          <w:rStyle w:val="markedcontent"/>
          <w:rFonts w:ascii="Times New Roman" w:hAnsi="Times New Roman" w:cs="Times New Roman"/>
          <w:b/>
          <w:sz w:val="24"/>
          <w:szCs w:val="24"/>
        </w:rPr>
        <w:t>Estate Planning Strategies</w:t>
      </w:r>
    </w:p>
    <w:p w14:paraId="1755D13A" w14:textId="77777777" w:rsidR="00FC2022" w:rsidRPr="00FF7914" w:rsidRDefault="00FC2022" w:rsidP="00BA6C88">
      <w:pPr>
        <w:spacing w:before="100" w:beforeAutospacing="1" w:line="480" w:lineRule="auto"/>
        <w:ind w:firstLine="720"/>
        <w:contextualSpacing/>
        <w:jc w:val="both"/>
        <w:rPr>
          <w:rFonts w:ascii="Times New Roman" w:hAnsi="Times New Roman" w:cs="Times New Roman"/>
          <w:sz w:val="24"/>
          <w:szCs w:val="24"/>
        </w:rPr>
      </w:pPr>
      <w:r w:rsidRPr="00FF7914">
        <w:rPr>
          <w:rFonts w:ascii="Times New Roman" w:hAnsi="Times New Roman" w:cs="Times New Roman"/>
          <w:sz w:val="24"/>
          <w:szCs w:val="24"/>
        </w:rPr>
        <w:t xml:space="preserve">The client has the chance to plan right now while he is alive. To begin with, he can start by moving his assets of riches before his death. In protecting his asset from taxation, he can start by giving gifts since the estate and national gift taxes are at the lead with 40%. In addition, all family members have a collective lifetime exception before any gift is due. This means that a person can escape gift tax by giving away $5.45 Million in their lifespan and $15 000 commission yearly on any medical or educational outflows. </w:t>
      </w:r>
    </w:p>
    <w:p w14:paraId="09D7E612" w14:textId="77777777" w:rsidR="00AF6EE5" w:rsidRPr="00AF6EE5" w:rsidRDefault="00324715" w:rsidP="00AF6EE5">
      <w:pPr>
        <w:spacing w:before="100" w:beforeAutospacing="1"/>
        <w:jc w:val="both"/>
        <w:rPr>
          <w:rFonts w:ascii="Times New Roman" w:hAnsi="Times New Roman" w:cs="Times New Roman"/>
          <w:sz w:val="24"/>
          <w:szCs w:val="24"/>
        </w:rPr>
      </w:pPr>
      <w:r w:rsidRPr="00985402">
        <w:rPr>
          <w:rFonts w:ascii="Times New Roman" w:hAnsi="Times New Roman" w:cs="Times New Roman"/>
          <w:sz w:val="24"/>
          <w:szCs w:val="24"/>
        </w:rPr>
        <w:t xml:space="preserve"> </w:t>
      </w:r>
      <w:r w:rsidR="00AF6EE5" w:rsidRPr="00AF6EE5">
        <w:rPr>
          <w:rFonts w:ascii="Times New Roman" w:hAnsi="Times New Roman" w:cs="Times New Roman"/>
          <w:sz w:val="24"/>
          <w:szCs w:val="24"/>
        </w:rPr>
        <w:t>The following suggestions will help to guarantee that the strategic plan is successful. They are as follows:</w:t>
      </w:r>
    </w:p>
    <w:p w14:paraId="3AA1FFA1" w14:textId="0D57A912" w:rsidR="00AF6EE5" w:rsidRPr="0078625F" w:rsidRDefault="00AF6EE5" w:rsidP="0078625F">
      <w:pPr>
        <w:pStyle w:val="ListParagraph"/>
        <w:numPr>
          <w:ilvl w:val="0"/>
          <w:numId w:val="3"/>
        </w:numPr>
        <w:spacing w:before="100" w:beforeAutospacing="1" w:line="480" w:lineRule="auto"/>
        <w:jc w:val="both"/>
        <w:rPr>
          <w:rFonts w:ascii="Times New Roman" w:hAnsi="Times New Roman" w:cs="Times New Roman"/>
          <w:sz w:val="24"/>
          <w:szCs w:val="24"/>
        </w:rPr>
      </w:pPr>
      <w:r w:rsidRPr="0078625F">
        <w:rPr>
          <w:rFonts w:ascii="Times New Roman" w:hAnsi="Times New Roman" w:cs="Times New Roman"/>
          <w:sz w:val="24"/>
          <w:szCs w:val="24"/>
        </w:rPr>
        <w:t>By allocating tiny amounts of estate to a bound life coverage trusts, ideally equivalent to life insurance premium amounts, an individual might reduce the size of their taxed estate while creating a substantially larger asset distinct from the estate. Profits from life insurance policies are usually not taxed.</w:t>
      </w:r>
    </w:p>
    <w:p w14:paraId="78615EA2" w14:textId="0ED71938" w:rsidR="00813616" w:rsidRPr="0078625F" w:rsidRDefault="00AF6EE5" w:rsidP="0078625F">
      <w:pPr>
        <w:pStyle w:val="ListParagraph"/>
        <w:numPr>
          <w:ilvl w:val="0"/>
          <w:numId w:val="3"/>
        </w:numPr>
        <w:spacing w:before="100" w:beforeAutospacing="1" w:line="480" w:lineRule="auto"/>
        <w:jc w:val="both"/>
        <w:rPr>
          <w:rFonts w:ascii="Times New Roman" w:hAnsi="Times New Roman" w:cs="Times New Roman"/>
          <w:sz w:val="24"/>
          <w:szCs w:val="24"/>
        </w:rPr>
      </w:pPr>
      <w:r w:rsidRPr="0078625F">
        <w:rPr>
          <w:rFonts w:ascii="Times New Roman" w:hAnsi="Times New Roman" w:cs="Times New Roman"/>
          <w:sz w:val="24"/>
          <w:szCs w:val="24"/>
        </w:rPr>
        <w:t>Long Benevolent Transfers- Gifts or charity transfers to gifts after a person's death can reduce the size of a legacy and so reduce estate taxes. Gifts come with the extra benefit of a tax break.</w:t>
      </w:r>
      <w:r w:rsidR="00324715" w:rsidRPr="0078625F">
        <w:rPr>
          <w:rFonts w:ascii="Times New Roman" w:hAnsi="Times New Roman" w:cs="Times New Roman"/>
          <w:sz w:val="24"/>
          <w:szCs w:val="24"/>
        </w:rPr>
        <w:t xml:space="preserve"> </w:t>
      </w:r>
      <w:r w:rsidR="00813616" w:rsidRPr="0078625F">
        <w:rPr>
          <w:rFonts w:ascii="Times New Roman" w:hAnsi="Times New Roman" w:cs="Times New Roman"/>
          <w:sz w:val="24"/>
          <w:szCs w:val="24"/>
        </w:rPr>
        <w:t>These are also constructed in such a manner that the giver retains the right to use the income or bequeathed asset until his or her death.</w:t>
      </w:r>
    </w:p>
    <w:p w14:paraId="4A7861F7" w14:textId="73F90965" w:rsidR="00813616" w:rsidRPr="0078625F" w:rsidRDefault="00813616" w:rsidP="0078625F">
      <w:pPr>
        <w:pStyle w:val="ListParagraph"/>
        <w:numPr>
          <w:ilvl w:val="0"/>
          <w:numId w:val="3"/>
        </w:numPr>
        <w:spacing w:before="100" w:beforeAutospacing="1" w:line="480" w:lineRule="auto"/>
        <w:jc w:val="both"/>
        <w:rPr>
          <w:rFonts w:ascii="Times New Roman" w:hAnsi="Times New Roman" w:cs="Times New Roman"/>
          <w:sz w:val="24"/>
          <w:szCs w:val="24"/>
        </w:rPr>
      </w:pPr>
      <w:r w:rsidRPr="0078625F">
        <w:rPr>
          <w:rFonts w:ascii="Times New Roman" w:hAnsi="Times New Roman" w:cs="Times New Roman"/>
          <w:sz w:val="24"/>
          <w:szCs w:val="24"/>
        </w:rPr>
        <w:t>Giving assets to the heirs would act as a safeguard for the recipients.</w:t>
      </w:r>
    </w:p>
    <w:p w14:paraId="77557CA5" w14:textId="2CBC1CB0" w:rsidR="00324715" w:rsidRPr="0078625F" w:rsidRDefault="00813616" w:rsidP="0078625F">
      <w:pPr>
        <w:pStyle w:val="ListParagraph"/>
        <w:numPr>
          <w:ilvl w:val="0"/>
          <w:numId w:val="3"/>
        </w:numPr>
        <w:spacing w:before="100" w:beforeAutospacing="1" w:line="480" w:lineRule="auto"/>
        <w:jc w:val="both"/>
        <w:rPr>
          <w:rFonts w:ascii="Times New Roman" w:hAnsi="Times New Roman" w:cs="Times New Roman"/>
          <w:sz w:val="24"/>
          <w:szCs w:val="24"/>
        </w:rPr>
      </w:pPr>
      <w:r w:rsidRPr="0078625F">
        <w:rPr>
          <w:rFonts w:ascii="Times New Roman" w:hAnsi="Times New Roman" w:cs="Times New Roman"/>
          <w:sz w:val="24"/>
          <w:szCs w:val="24"/>
        </w:rPr>
        <w:t>Create a one-of-a-kind real estate assessment to avoid inequitable outcomes in the case of a family land next to a higher-valued commercial property.</w:t>
      </w:r>
    </w:p>
    <w:p w14:paraId="259BC5C5" w14:textId="77777777" w:rsidR="00324715" w:rsidRPr="00DD485D" w:rsidRDefault="00324715" w:rsidP="00091EFD">
      <w:pPr>
        <w:spacing w:before="100" w:beforeAutospacing="1"/>
        <w:jc w:val="both"/>
        <w:rPr>
          <w:rFonts w:ascii="Times New Roman" w:hAnsi="Times New Roman" w:cs="Times New Roman"/>
          <w:b/>
          <w:sz w:val="24"/>
          <w:szCs w:val="24"/>
        </w:rPr>
      </w:pPr>
      <w:r w:rsidRPr="00DD485D">
        <w:rPr>
          <w:rFonts w:ascii="Times New Roman" w:hAnsi="Times New Roman" w:cs="Times New Roman"/>
          <w:b/>
          <w:sz w:val="24"/>
          <w:szCs w:val="24"/>
        </w:rPr>
        <w:lastRenderedPageBreak/>
        <w:t>Course of Action</w:t>
      </w:r>
    </w:p>
    <w:p w14:paraId="63FEEBE8" w14:textId="5EED5156" w:rsidR="00324715" w:rsidRPr="00985402" w:rsidRDefault="0068606A" w:rsidP="00BA6C88">
      <w:pPr>
        <w:spacing w:before="100" w:beforeAutospacing="1"/>
        <w:ind w:firstLine="720"/>
        <w:jc w:val="both"/>
        <w:rPr>
          <w:rFonts w:ascii="Times New Roman" w:hAnsi="Times New Roman" w:cs="Times New Roman"/>
          <w:sz w:val="24"/>
          <w:szCs w:val="24"/>
        </w:rPr>
      </w:pPr>
      <w:r w:rsidRPr="0068606A">
        <w:rPr>
          <w:rFonts w:ascii="Times New Roman" w:hAnsi="Times New Roman" w:cs="Times New Roman"/>
          <w:sz w:val="24"/>
          <w:szCs w:val="24"/>
        </w:rPr>
        <w:t>In the case of a limited partnership, the objective ought to be to give the firm to his daughter Mandy. This is due to the fact that it has a substantial estate planning component that assists families in passing assets such as tightly held enterprises to future generations and protecting family assets from creditors (Michael &amp; Gagliardi, 2016). It also permits partnership profits to be taxed at the children's reduced statutory rates. Adaptability and revocability are two further enticing features of the family-run business.</w:t>
      </w:r>
      <w:r w:rsidR="00324715" w:rsidRPr="00985402">
        <w:rPr>
          <w:rFonts w:ascii="Times New Roman" w:hAnsi="Times New Roman" w:cs="Times New Roman"/>
          <w:sz w:val="24"/>
          <w:szCs w:val="24"/>
        </w:rPr>
        <w:t xml:space="preserve"> </w:t>
      </w:r>
    </w:p>
    <w:p w14:paraId="45AD1F36" w14:textId="77777777" w:rsidR="00324715" w:rsidRPr="00835979" w:rsidRDefault="00324715" w:rsidP="00091EFD">
      <w:pPr>
        <w:spacing w:before="100" w:beforeAutospacing="1"/>
        <w:jc w:val="both"/>
        <w:rPr>
          <w:rFonts w:ascii="Times New Roman" w:hAnsi="Times New Roman" w:cs="Times New Roman"/>
          <w:b/>
          <w:sz w:val="24"/>
          <w:szCs w:val="24"/>
        </w:rPr>
      </w:pPr>
      <w:r w:rsidRPr="00835979">
        <w:rPr>
          <w:rFonts w:ascii="Times New Roman" w:hAnsi="Times New Roman" w:cs="Times New Roman"/>
          <w:b/>
          <w:sz w:val="24"/>
          <w:szCs w:val="24"/>
        </w:rPr>
        <w:t>Best Strategy</w:t>
      </w:r>
    </w:p>
    <w:p w14:paraId="4F4B9B4E" w14:textId="0FDFC27B" w:rsidR="002B0D1B" w:rsidRDefault="006B2592" w:rsidP="00A171BA">
      <w:pPr>
        <w:spacing w:before="100" w:before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The client’s </w:t>
      </w:r>
      <w:r w:rsidR="00A171BA" w:rsidRPr="00A171BA">
        <w:rPr>
          <w:rFonts w:ascii="Times New Roman" w:hAnsi="Times New Roman" w:cs="Times New Roman"/>
          <w:sz w:val="24"/>
          <w:szCs w:val="24"/>
        </w:rPr>
        <w:t xml:space="preserve">best line of action is to sell because he will be able to manage the strategy through the conditions of the agreements.  The following are the outcomes: </w:t>
      </w:r>
    </w:p>
    <w:p w14:paraId="73F16861" w14:textId="16C5C54B" w:rsidR="00A171BA" w:rsidRPr="002B0D1B" w:rsidRDefault="00A171BA" w:rsidP="00091EFD">
      <w:pPr>
        <w:pStyle w:val="ListParagraph"/>
        <w:numPr>
          <w:ilvl w:val="0"/>
          <w:numId w:val="5"/>
        </w:numPr>
        <w:spacing w:before="100" w:beforeAutospacing="1" w:line="360" w:lineRule="auto"/>
        <w:jc w:val="both"/>
        <w:rPr>
          <w:rFonts w:ascii="Times New Roman" w:hAnsi="Times New Roman" w:cs="Times New Roman"/>
          <w:sz w:val="24"/>
          <w:szCs w:val="24"/>
        </w:rPr>
      </w:pPr>
      <w:r w:rsidRPr="002B0D1B">
        <w:rPr>
          <w:rFonts w:ascii="Times New Roman" w:hAnsi="Times New Roman" w:cs="Times New Roman"/>
          <w:sz w:val="24"/>
          <w:szCs w:val="24"/>
        </w:rPr>
        <w:t>Bob would be charged on the income he receives from the sale of his firm.</w:t>
      </w:r>
    </w:p>
    <w:p w14:paraId="0F3E4AB3" w14:textId="7E01B85C" w:rsidR="00A171BA" w:rsidRPr="002B0D1B" w:rsidRDefault="00A171BA" w:rsidP="00091EFD">
      <w:pPr>
        <w:pStyle w:val="ListParagraph"/>
        <w:numPr>
          <w:ilvl w:val="0"/>
          <w:numId w:val="5"/>
        </w:numPr>
        <w:spacing w:before="100" w:beforeAutospacing="1" w:line="360" w:lineRule="auto"/>
        <w:jc w:val="both"/>
        <w:rPr>
          <w:rFonts w:ascii="Times New Roman" w:hAnsi="Times New Roman" w:cs="Times New Roman"/>
          <w:sz w:val="24"/>
          <w:szCs w:val="24"/>
        </w:rPr>
      </w:pPr>
      <w:r w:rsidRPr="002B0D1B">
        <w:rPr>
          <w:rFonts w:ascii="Times New Roman" w:hAnsi="Times New Roman" w:cs="Times New Roman"/>
          <w:sz w:val="24"/>
          <w:szCs w:val="24"/>
        </w:rPr>
        <w:t>Whether the money he earns from the sale is taxed as capital appreciation or ordinary income determines the amount of expenditure he will pay.</w:t>
      </w:r>
    </w:p>
    <w:p w14:paraId="06EE996D" w14:textId="6E77D926" w:rsidR="00102E98" w:rsidRPr="002B0D1B" w:rsidRDefault="00A171BA" w:rsidP="00091EFD">
      <w:pPr>
        <w:pStyle w:val="ListParagraph"/>
        <w:numPr>
          <w:ilvl w:val="0"/>
          <w:numId w:val="5"/>
        </w:numPr>
        <w:spacing w:before="100" w:beforeAutospacing="1" w:line="360" w:lineRule="auto"/>
        <w:jc w:val="both"/>
        <w:rPr>
          <w:rFonts w:ascii="Times New Roman" w:hAnsi="Times New Roman" w:cs="Times New Roman"/>
          <w:sz w:val="24"/>
          <w:szCs w:val="24"/>
        </w:rPr>
      </w:pPr>
      <w:r w:rsidRPr="002B0D1B">
        <w:rPr>
          <w:rFonts w:ascii="Times New Roman" w:hAnsi="Times New Roman" w:cs="Times New Roman"/>
          <w:sz w:val="24"/>
          <w:szCs w:val="24"/>
        </w:rPr>
        <w:t>Gains received from the sale of company assets may be overtaxed at the capital gains rate, but some he receives under the consultancy agreement will be treated as ordinary income.</w:t>
      </w:r>
    </w:p>
    <w:p w14:paraId="5225E80B" w14:textId="1343D4E0" w:rsidR="00663B57" w:rsidRPr="00FF7914" w:rsidRDefault="00663B57" w:rsidP="00091EFD">
      <w:pPr>
        <w:spacing w:before="100" w:beforeAutospacing="1"/>
        <w:jc w:val="center"/>
        <w:rPr>
          <w:rFonts w:ascii="Times New Roman" w:hAnsi="Times New Roman" w:cs="Times New Roman"/>
          <w:b/>
          <w:bCs/>
          <w:sz w:val="24"/>
          <w:szCs w:val="24"/>
        </w:rPr>
      </w:pPr>
      <w:r w:rsidRPr="00FF7914">
        <w:rPr>
          <w:rFonts w:ascii="Times New Roman" w:hAnsi="Times New Roman" w:cs="Times New Roman"/>
          <w:b/>
          <w:bCs/>
          <w:sz w:val="24"/>
          <w:szCs w:val="24"/>
        </w:rPr>
        <w:t>Conclusion</w:t>
      </w:r>
    </w:p>
    <w:p w14:paraId="6B4C6E6E" w14:textId="3D55280F" w:rsidR="00FC2022" w:rsidRPr="00FF7914" w:rsidRDefault="00FC2022" w:rsidP="00091EFD">
      <w:pPr>
        <w:spacing w:before="100" w:beforeAutospacing="1"/>
        <w:jc w:val="both"/>
        <w:rPr>
          <w:rFonts w:ascii="Times New Roman" w:hAnsi="Times New Roman" w:cs="Times New Roman"/>
          <w:b/>
          <w:bCs/>
          <w:sz w:val="24"/>
          <w:szCs w:val="24"/>
        </w:rPr>
      </w:pPr>
      <w:r w:rsidRPr="00FF7914">
        <w:rPr>
          <w:rFonts w:ascii="Times New Roman" w:hAnsi="Times New Roman" w:cs="Times New Roman"/>
          <w:b/>
          <w:bCs/>
          <w:sz w:val="24"/>
          <w:szCs w:val="24"/>
        </w:rPr>
        <w:t>Comparison of Business Entity Types</w:t>
      </w:r>
    </w:p>
    <w:p w14:paraId="6E3563A0" w14:textId="77777777" w:rsidR="00FC2022" w:rsidRPr="00FF7914" w:rsidRDefault="00FC2022" w:rsidP="00BA6C88">
      <w:pPr>
        <w:spacing w:before="100" w:beforeAutospacing="1" w:line="480" w:lineRule="auto"/>
        <w:jc w:val="both"/>
        <w:rPr>
          <w:rFonts w:ascii="Times New Roman" w:hAnsi="Times New Roman" w:cs="Times New Roman"/>
          <w:sz w:val="24"/>
          <w:szCs w:val="24"/>
        </w:rPr>
      </w:pPr>
      <w:r w:rsidRPr="00FF7914">
        <w:rPr>
          <w:rFonts w:ascii="Times New Roman" w:hAnsi="Times New Roman" w:cs="Times New Roman"/>
          <w:sz w:val="24"/>
          <w:szCs w:val="24"/>
        </w:rPr>
        <w:t xml:space="preserve">Sole proprietorship is one of the easiest methods to establish a business. Under sole proprietorship, the company is owned by a single person. The advantages of this kind of business include: the proprietor will get all earnings; few paperwork is involved to start the enterprise; it is simple to open up and decrease the expenses of beginning due to fewer legal fees; the owner has complete control over the business; and finally, it will not be taxed twice on the owner instead, only personal income taxes will be applied. However, there are some drawbacks to a sole proprietorship, including: the holder is responsible for the operational costs, which might also confine the entity's </w:t>
      </w:r>
      <w:r w:rsidRPr="00FF7914">
        <w:rPr>
          <w:rFonts w:ascii="Times New Roman" w:hAnsi="Times New Roman" w:cs="Times New Roman"/>
          <w:sz w:val="24"/>
          <w:szCs w:val="24"/>
        </w:rPr>
        <w:lastRenderedPageBreak/>
        <w:t>operational processes; the enterprise is also subject to fewer liability and is at threat of quickly shuttering; and finally, if the owner dies without leaving heirs, the entity might disappear completely.</w:t>
      </w:r>
    </w:p>
    <w:p w14:paraId="113BE019" w14:textId="77777777" w:rsidR="00FC2022" w:rsidRPr="00FF7914" w:rsidRDefault="00FC2022" w:rsidP="00BA6C88">
      <w:pPr>
        <w:spacing w:before="100" w:beforeAutospacing="1" w:line="480" w:lineRule="auto"/>
        <w:jc w:val="both"/>
        <w:rPr>
          <w:rFonts w:ascii="Times New Roman" w:hAnsi="Times New Roman" w:cs="Times New Roman"/>
          <w:bCs/>
          <w:sz w:val="24"/>
          <w:szCs w:val="24"/>
        </w:rPr>
      </w:pPr>
      <w:r w:rsidRPr="00FF7914">
        <w:rPr>
          <w:rFonts w:ascii="Times New Roman" w:hAnsi="Times New Roman" w:cs="Times New Roman"/>
          <w:bCs/>
          <w:sz w:val="24"/>
          <w:szCs w:val="24"/>
        </w:rPr>
        <w:t xml:space="preserve">Second, a partnership is a commercial structure created by two or more people. The activities of the business will be managed by the partners. A few of the benefits involve: Participants will pay the taxes on their own income, but the firm may not be taxable, resulting in no dual taxing. It thus would save associates a significant amount of money for investment; it will boost their potential to raise cash due to the owner's input; and it will restrict their liabilities. Unfortunately, there are certain drawbacks to forming a partnership: Partnerships are not exempt from paying taxes. Donations to charitable causes, for instance, would not be tax deductible; members will not withdraw or utilize the company's resources until the other parties’ have given their consent. </w:t>
      </w:r>
    </w:p>
    <w:p w14:paraId="4110D302" w14:textId="77777777" w:rsidR="00FC2022" w:rsidRPr="00FF7914" w:rsidRDefault="00FC2022" w:rsidP="00BA6C88">
      <w:pPr>
        <w:spacing w:before="100" w:beforeAutospacing="1" w:line="480" w:lineRule="auto"/>
        <w:jc w:val="both"/>
        <w:rPr>
          <w:rFonts w:ascii="Times New Roman" w:hAnsi="Times New Roman" w:cs="Times New Roman"/>
          <w:sz w:val="24"/>
          <w:szCs w:val="24"/>
        </w:rPr>
      </w:pPr>
      <w:r w:rsidRPr="00FF7914">
        <w:rPr>
          <w:rFonts w:ascii="Times New Roman" w:hAnsi="Times New Roman" w:cs="Times New Roman"/>
          <w:bCs/>
          <w:sz w:val="24"/>
          <w:szCs w:val="24"/>
        </w:rPr>
        <w:t>Third, a company may choose to be a S Corporation in order to escape corporate taxes and so escape dual taxing. The following are some of the advantages: Income is taxed at the expense of shareholders rather than at the business level, as it is in other businesses. As a result, there is no dual taxation; additionally, investors are not accountable for the entity's obligations. If the company fails, the investors may risk their whole stake, but they are not responsible for the company's obligations.</w:t>
      </w:r>
      <w:r w:rsidRPr="00FF7914">
        <w:rPr>
          <w:rFonts w:ascii="Times New Roman" w:hAnsi="Times New Roman" w:cs="Times New Roman"/>
          <w:sz w:val="24"/>
          <w:szCs w:val="24"/>
        </w:rPr>
        <w:t xml:space="preserve"> Nevertheless, the aforementioned are some of the business's drawbacks: It, like a C Corporation, must pay a fee to submit articles of incorporation. In calculating net taxable income, any contributions made towards a charity cause are not deductible.</w:t>
      </w:r>
    </w:p>
    <w:p w14:paraId="3D7BC8D8" w14:textId="77777777" w:rsidR="00FC2022" w:rsidRPr="00FF7914" w:rsidRDefault="00FC2022" w:rsidP="00BA6C88">
      <w:pPr>
        <w:spacing w:before="100" w:beforeAutospacing="1" w:line="480" w:lineRule="auto"/>
        <w:jc w:val="both"/>
        <w:rPr>
          <w:rFonts w:ascii="Times New Roman" w:hAnsi="Times New Roman" w:cs="Times New Roman"/>
          <w:sz w:val="24"/>
          <w:szCs w:val="24"/>
        </w:rPr>
      </w:pPr>
      <w:r w:rsidRPr="00FF7914">
        <w:rPr>
          <w:rFonts w:ascii="Times New Roman" w:hAnsi="Times New Roman" w:cs="Times New Roman"/>
          <w:bCs/>
          <w:sz w:val="24"/>
          <w:szCs w:val="24"/>
        </w:rPr>
        <w:t xml:space="preserve">Fourth, a C Corporation is a legal entity which is separate from its owners. A C Corporation is a legal body capable of transferring assets. Among its benefits are the following: the corporation is permitted to claim up to 75% of any charity gift; and there is investment pool, giving the firm an </w:t>
      </w:r>
      <w:r w:rsidRPr="00FF7914">
        <w:rPr>
          <w:rFonts w:ascii="Times New Roman" w:hAnsi="Times New Roman" w:cs="Times New Roman"/>
          <w:bCs/>
          <w:sz w:val="24"/>
          <w:szCs w:val="24"/>
        </w:rPr>
        <w:lastRenderedPageBreak/>
        <w:t>edge in acquiring sufficient cash for commercial operations. Nonetheless, there are certain drawbacks to it, such as the fact that the company is taxable at both the corporate and individual levels, and that the revenues received by the investors are likewise taxed. It is a dual taxation that has an impact on the company's long-term viability; also, the documents must be filed with the Minnesota Secretary of State along with the processing fee</w:t>
      </w:r>
      <w:r w:rsidRPr="00FF7914">
        <w:rPr>
          <w:rFonts w:ascii="Times New Roman" w:hAnsi="Times New Roman" w:cs="Times New Roman"/>
          <w:sz w:val="24"/>
          <w:szCs w:val="24"/>
        </w:rPr>
        <w:t xml:space="preserve">. </w:t>
      </w:r>
    </w:p>
    <w:p w14:paraId="50D4ED7F" w14:textId="77777777" w:rsidR="00FC2022" w:rsidRPr="00FF7914" w:rsidRDefault="00FC2022" w:rsidP="00FF3873">
      <w:pPr>
        <w:spacing w:before="100" w:beforeAutospacing="1"/>
        <w:jc w:val="both"/>
        <w:rPr>
          <w:rFonts w:ascii="Times New Roman" w:eastAsia="Times New Roman" w:hAnsi="Times New Roman" w:cs="Times New Roman"/>
          <w:b/>
          <w:bCs/>
          <w:iCs/>
          <w:sz w:val="24"/>
          <w:szCs w:val="24"/>
        </w:rPr>
      </w:pPr>
      <w:r w:rsidRPr="00FF7914">
        <w:rPr>
          <w:rFonts w:ascii="Times New Roman" w:eastAsia="Times New Roman" w:hAnsi="Times New Roman" w:cs="Times New Roman"/>
          <w:b/>
          <w:bCs/>
          <w:iCs/>
          <w:sz w:val="24"/>
          <w:szCs w:val="24"/>
        </w:rPr>
        <w:t>Alternatives</w:t>
      </w:r>
    </w:p>
    <w:p w14:paraId="13A7F19D" w14:textId="2D58544E" w:rsidR="00FC2022" w:rsidRPr="00FF7914" w:rsidRDefault="00FC2022" w:rsidP="00FF3873">
      <w:pPr>
        <w:spacing w:before="100" w:beforeAutospacing="1"/>
        <w:jc w:val="center"/>
        <w:rPr>
          <w:rFonts w:ascii="Times New Roman" w:eastAsia="Times New Roman" w:hAnsi="Times New Roman" w:cs="Times New Roman"/>
          <w:b/>
          <w:bCs/>
          <w:iCs/>
          <w:sz w:val="24"/>
          <w:szCs w:val="24"/>
        </w:rPr>
      </w:pPr>
      <w:r w:rsidRPr="00FF7914">
        <w:rPr>
          <w:rFonts w:ascii="Times New Roman" w:eastAsia="Times New Roman" w:hAnsi="Times New Roman" w:cs="Times New Roman"/>
          <w:b/>
          <w:bCs/>
          <w:iCs/>
          <w:sz w:val="24"/>
          <w:szCs w:val="24"/>
        </w:rPr>
        <w:t>Avoiding Double Taxation</w:t>
      </w:r>
    </w:p>
    <w:p w14:paraId="132778D5" w14:textId="05F511C9" w:rsidR="00FC2022" w:rsidRPr="00FF7914" w:rsidRDefault="00FC2022" w:rsidP="00091EFD">
      <w:pPr>
        <w:spacing w:before="100" w:beforeAutospacing="1" w:line="480" w:lineRule="auto"/>
        <w:jc w:val="both"/>
        <w:rPr>
          <w:rFonts w:ascii="Times New Roman" w:eastAsia="Times New Roman" w:hAnsi="Times New Roman" w:cs="Times New Roman"/>
          <w:sz w:val="24"/>
          <w:szCs w:val="24"/>
        </w:rPr>
      </w:pPr>
      <w:r w:rsidRPr="00FF7914">
        <w:rPr>
          <w:rFonts w:ascii="Times New Roman" w:hAnsi="Times New Roman" w:cs="Times New Roman"/>
          <w:sz w:val="24"/>
          <w:szCs w:val="24"/>
        </w:rPr>
        <w:t>One approach for a business to dissolve a C Corporation is to convert it to a S Corporation or reorganize it into a tax-free divided D. This is in accordance with Section 137 of the taxes legislation, that sets corporate tax rates for C Corporations. Businesses can choose a divided D restructuring (Secs. 368(a)(1)(D) and 355) rather than being dissolved, which separates the corporation into various lines of business. As a result, the business will be saved from extinction as a result of this.</w:t>
      </w:r>
      <w:r w:rsidRPr="00FF7914">
        <w:rPr>
          <w:rFonts w:ascii="Times New Roman" w:eastAsia="Times New Roman" w:hAnsi="Times New Roman" w:cs="Times New Roman"/>
          <w:sz w:val="24"/>
          <w:szCs w:val="24"/>
        </w:rPr>
        <w:t xml:space="preserve"> To summarize, I agree with Fonfara, J. P., &amp; McCool, C. R. (1988), that the S Corporation is the ideal option due to its tax advantages. It will guarantee that stockholders obtain the highest possible profits. </w:t>
      </w:r>
    </w:p>
    <w:p w14:paraId="6C534923" w14:textId="77777777" w:rsidR="00FC2022" w:rsidRPr="00FF7914" w:rsidRDefault="00FC2022" w:rsidP="00091EFD">
      <w:pPr>
        <w:spacing w:before="100" w:beforeAutospacing="1"/>
        <w:jc w:val="center"/>
        <w:rPr>
          <w:rFonts w:ascii="Times New Roman" w:hAnsi="Times New Roman" w:cs="Times New Roman"/>
          <w:b/>
          <w:sz w:val="24"/>
          <w:szCs w:val="24"/>
        </w:rPr>
      </w:pPr>
      <w:r w:rsidRPr="00FF7914">
        <w:rPr>
          <w:rFonts w:ascii="Times New Roman" w:hAnsi="Times New Roman" w:cs="Times New Roman"/>
          <w:b/>
          <w:sz w:val="24"/>
          <w:szCs w:val="24"/>
        </w:rPr>
        <w:t>Stock Purchases</w:t>
      </w:r>
    </w:p>
    <w:p w14:paraId="4CDA1C7C" w14:textId="3916A168" w:rsidR="00AC6BA5" w:rsidRDefault="00FC2022" w:rsidP="003677F5">
      <w:pPr>
        <w:spacing w:before="100" w:beforeAutospacing="1" w:line="480" w:lineRule="auto"/>
        <w:jc w:val="both"/>
        <w:rPr>
          <w:rFonts w:ascii="Times New Roman" w:hAnsi="Times New Roman" w:cs="Times New Roman"/>
          <w:sz w:val="24"/>
          <w:szCs w:val="24"/>
        </w:rPr>
      </w:pPr>
      <w:r w:rsidRPr="00FF7914">
        <w:rPr>
          <w:rFonts w:ascii="Times New Roman" w:eastAsia="Times New Roman" w:hAnsi="Times New Roman" w:cs="Times New Roman"/>
          <w:sz w:val="24"/>
          <w:szCs w:val="24"/>
        </w:rPr>
        <w:t>Section. 338 permits the corporate entity to examine a stock acquisition in which the operator's stock is purchased for 80% of its voting power and is deemed as dissolved. The strategy is chosen over asset sales as a means of transferring firm control. Although companies can sell commodities while keeping the business operating, this is costly because any property gain is taxable at the business level.</w:t>
      </w:r>
      <w:r w:rsidR="00AC6BA5">
        <w:rPr>
          <w:rFonts w:ascii="Times New Roman" w:hAnsi="Times New Roman" w:cs="Times New Roman"/>
          <w:sz w:val="24"/>
          <w:szCs w:val="24"/>
        </w:rPr>
        <w:br w:type="page"/>
      </w:r>
    </w:p>
    <w:p w14:paraId="503141E5" w14:textId="445A8477" w:rsidR="00A31D0B" w:rsidRDefault="00AC6BA5" w:rsidP="003677F5">
      <w:pPr>
        <w:spacing w:before="100" w:beforeAutospacing="1"/>
        <w:jc w:val="center"/>
        <w:rPr>
          <w:rFonts w:ascii="Times New Roman" w:hAnsi="Times New Roman" w:cs="Times New Roman"/>
          <w:b/>
          <w:bCs/>
          <w:sz w:val="24"/>
          <w:szCs w:val="24"/>
        </w:rPr>
      </w:pPr>
      <w:r w:rsidRPr="00AC6BA5">
        <w:rPr>
          <w:rFonts w:ascii="Times New Roman" w:hAnsi="Times New Roman" w:cs="Times New Roman"/>
          <w:b/>
          <w:bCs/>
          <w:sz w:val="24"/>
          <w:szCs w:val="24"/>
        </w:rPr>
        <w:lastRenderedPageBreak/>
        <w:t>References</w:t>
      </w:r>
    </w:p>
    <w:p w14:paraId="499AB632" w14:textId="77777777" w:rsidR="006F3710" w:rsidRPr="00AC6BA5" w:rsidRDefault="006F3710" w:rsidP="00BA6C88">
      <w:pPr>
        <w:spacing w:before="100" w:beforeAutospacing="1" w:line="480" w:lineRule="auto"/>
        <w:ind w:left="720" w:hanging="720"/>
        <w:jc w:val="both"/>
        <w:rPr>
          <w:rFonts w:ascii="Times New Roman" w:eastAsia="Times New Roman" w:hAnsi="Times New Roman" w:cs="Times New Roman"/>
          <w:sz w:val="24"/>
          <w:szCs w:val="24"/>
        </w:rPr>
      </w:pPr>
      <w:r w:rsidRPr="00AC6BA5">
        <w:rPr>
          <w:rFonts w:ascii="Times New Roman" w:eastAsia="Times New Roman" w:hAnsi="Times New Roman" w:cs="Times New Roman"/>
          <w:iCs/>
          <w:sz w:val="24"/>
          <w:szCs w:val="24"/>
        </w:rPr>
        <w:t>Albert L. Grasso, R. Barry Johnson, and Lewis A. Siegel, published by Thomson Reuters/Tax &amp; Accounting, Carrollton, Texas, 2014 (</w:t>
      </w:r>
      <w:r w:rsidRPr="00AC6BA5">
        <w:rPr>
          <w:rFonts w:ascii="Times New Roman" w:eastAsia="Times New Roman" w:hAnsi="Times New Roman" w:cs="Times New Roman"/>
          <w:sz w:val="24"/>
          <w:szCs w:val="24"/>
        </w:rPr>
        <w:t>800</w:t>
      </w:r>
      <w:r w:rsidRPr="00AC6BA5">
        <w:rPr>
          <w:rFonts w:ascii="Times New Roman" w:eastAsia="Times New Roman" w:hAnsi="Times New Roman" w:cs="Times New Roman"/>
          <w:iCs/>
          <w:sz w:val="24"/>
          <w:szCs w:val="24"/>
        </w:rPr>
        <w:t>-431-9025)</w:t>
      </w:r>
    </w:p>
    <w:p w14:paraId="4F4C794D" w14:textId="77777777" w:rsidR="006F3710" w:rsidRPr="001810ED" w:rsidRDefault="006F3710" w:rsidP="00BA6C88">
      <w:pPr>
        <w:spacing w:before="100" w:beforeAutospacing="1"/>
        <w:ind w:left="720" w:hanging="720"/>
        <w:jc w:val="both"/>
      </w:pPr>
      <w:r w:rsidRPr="00985402">
        <w:rPr>
          <w:rFonts w:ascii="Times New Roman" w:hAnsi="Times New Roman" w:cs="Times New Roman"/>
          <w:sz w:val="24"/>
          <w:szCs w:val="24"/>
        </w:rPr>
        <w:t xml:space="preserve">Barth, M. E., Gómez </w:t>
      </w:r>
      <w:proofErr w:type="spellStart"/>
      <w:r w:rsidRPr="00985402">
        <w:rPr>
          <w:rFonts w:ascii="Times New Roman" w:hAnsi="Times New Roman" w:cs="Times New Roman"/>
          <w:sz w:val="24"/>
          <w:szCs w:val="24"/>
        </w:rPr>
        <w:t>Biscarri</w:t>
      </w:r>
      <w:proofErr w:type="spellEnd"/>
      <w:r w:rsidRPr="00985402">
        <w:rPr>
          <w:rFonts w:ascii="Times New Roman" w:hAnsi="Times New Roman" w:cs="Times New Roman"/>
          <w:sz w:val="24"/>
          <w:szCs w:val="24"/>
        </w:rPr>
        <w:t xml:space="preserve">, J., </w:t>
      </w:r>
      <w:proofErr w:type="spellStart"/>
      <w:r w:rsidRPr="00985402">
        <w:rPr>
          <w:rFonts w:ascii="Times New Roman" w:hAnsi="Times New Roman" w:cs="Times New Roman"/>
          <w:sz w:val="24"/>
          <w:szCs w:val="24"/>
        </w:rPr>
        <w:t>Kasznik</w:t>
      </w:r>
      <w:proofErr w:type="spellEnd"/>
      <w:r w:rsidRPr="00985402">
        <w:rPr>
          <w:rFonts w:ascii="Times New Roman" w:hAnsi="Times New Roman" w:cs="Times New Roman"/>
          <w:sz w:val="24"/>
          <w:szCs w:val="24"/>
        </w:rPr>
        <w:t>, R., &amp; López-Espinosa, G. (2016). Bank earnings and regulatory capital management using available for sale securities.</w:t>
      </w:r>
    </w:p>
    <w:p w14:paraId="43D65058" w14:textId="77777777" w:rsidR="006F3710" w:rsidRPr="00AC6BA5" w:rsidRDefault="006F3710" w:rsidP="00BA6C88">
      <w:pPr>
        <w:spacing w:before="100" w:beforeAutospacing="1" w:line="480" w:lineRule="auto"/>
        <w:ind w:left="720" w:hanging="720"/>
        <w:jc w:val="both"/>
        <w:rPr>
          <w:rStyle w:val="qa-interaction-thread-content"/>
          <w:rFonts w:ascii="Times New Roman" w:hAnsi="Times New Roman" w:cs="Times New Roman"/>
          <w:sz w:val="24"/>
          <w:szCs w:val="24"/>
        </w:rPr>
      </w:pPr>
      <w:r w:rsidRPr="00AC6BA5">
        <w:rPr>
          <w:rStyle w:val="qa-interaction-thread-content"/>
          <w:rFonts w:ascii="Times New Roman" w:hAnsi="Times New Roman" w:cs="Times New Roman"/>
          <w:sz w:val="24"/>
          <w:szCs w:val="24"/>
        </w:rPr>
        <w:t>Cam Merritt, (2016), The Three Types of Business Entities in Accounting. Retrieved from: yourbusiness.azcentral.com/three-types-business-entities-accounting-10845.html.</w:t>
      </w:r>
    </w:p>
    <w:p w14:paraId="0FD523DA" w14:textId="77777777" w:rsidR="006F3710" w:rsidRPr="00AC6BA5" w:rsidRDefault="006F3710" w:rsidP="00BA6C88">
      <w:pPr>
        <w:spacing w:before="100" w:beforeAutospacing="1" w:line="480" w:lineRule="auto"/>
        <w:ind w:left="720" w:hanging="720"/>
        <w:jc w:val="both"/>
        <w:rPr>
          <w:rFonts w:ascii="Times New Roman" w:eastAsia="Times New Roman" w:hAnsi="Times New Roman" w:cs="Times New Roman"/>
          <w:sz w:val="24"/>
          <w:szCs w:val="24"/>
        </w:rPr>
      </w:pPr>
      <w:r w:rsidRPr="00AC6BA5">
        <w:rPr>
          <w:rFonts w:ascii="Times New Roman" w:eastAsia="Times New Roman" w:hAnsi="Times New Roman" w:cs="Times New Roman"/>
          <w:sz w:val="24"/>
          <w:szCs w:val="24"/>
        </w:rPr>
        <w:t xml:space="preserve">Cardella, G. M., Hernández-Sánchez, B. R., &amp; Sánchez García, J. C. (2020). Entrepreneurship and family role: a systematic review of a growing research. </w:t>
      </w:r>
      <w:r w:rsidRPr="00AC6BA5">
        <w:rPr>
          <w:rFonts w:ascii="Times New Roman" w:eastAsia="Times New Roman" w:hAnsi="Times New Roman" w:cs="Times New Roman"/>
          <w:i/>
          <w:iCs/>
          <w:sz w:val="24"/>
          <w:szCs w:val="24"/>
        </w:rPr>
        <w:t>Frontiers in psychology</w:t>
      </w:r>
      <w:r w:rsidRPr="00AC6BA5">
        <w:rPr>
          <w:rFonts w:ascii="Times New Roman" w:eastAsia="Times New Roman" w:hAnsi="Times New Roman" w:cs="Times New Roman"/>
          <w:sz w:val="24"/>
          <w:szCs w:val="24"/>
        </w:rPr>
        <w:t xml:space="preserve">, </w:t>
      </w:r>
      <w:r w:rsidRPr="00AC6BA5">
        <w:rPr>
          <w:rFonts w:ascii="Times New Roman" w:eastAsia="Times New Roman" w:hAnsi="Times New Roman" w:cs="Times New Roman"/>
          <w:i/>
          <w:iCs/>
          <w:sz w:val="24"/>
          <w:szCs w:val="24"/>
        </w:rPr>
        <w:t>10</w:t>
      </w:r>
      <w:r w:rsidRPr="00AC6BA5">
        <w:rPr>
          <w:rFonts w:ascii="Times New Roman" w:eastAsia="Times New Roman" w:hAnsi="Times New Roman" w:cs="Times New Roman"/>
          <w:sz w:val="24"/>
          <w:szCs w:val="24"/>
        </w:rPr>
        <w:t>, 2939.</w:t>
      </w:r>
    </w:p>
    <w:p w14:paraId="7ECD1A8A" w14:textId="77777777" w:rsidR="006F3710" w:rsidRPr="00AC6BA5" w:rsidRDefault="006F3710" w:rsidP="00BA6C88">
      <w:pPr>
        <w:spacing w:before="100" w:beforeAutospacing="1" w:line="480" w:lineRule="auto"/>
        <w:ind w:left="720" w:hanging="720"/>
        <w:jc w:val="both"/>
        <w:rPr>
          <w:rFonts w:ascii="Times New Roman" w:eastAsia="Times New Roman" w:hAnsi="Times New Roman" w:cs="Times New Roman"/>
          <w:sz w:val="24"/>
          <w:szCs w:val="24"/>
        </w:rPr>
      </w:pPr>
      <w:r w:rsidRPr="00AC6BA5">
        <w:rPr>
          <w:rFonts w:ascii="Times New Roman" w:eastAsia="Times New Roman" w:hAnsi="Times New Roman" w:cs="Times New Roman"/>
          <w:sz w:val="24"/>
          <w:szCs w:val="24"/>
        </w:rPr>
        <w:t xml:space="preserve">Chamberlain, E. (2021). Who should pay a wealth tax? Some design issues. </w:t>
      </w:r>
      <w:r w:rsidRPr="00AC6BA5">
        <w:rPr>
          <w:rFonts w:ascii="Times New Roman" w:eastAsia="Times New Roman" w:hAnsi="Times New Roman" w:cs="Times New Roman"/>
          <w:i/>
          <w:iCs/>
          <w:sz w:val="24"/>
          <w:szCs w:val="24"/>
        </w:rPr>
        <w:t>Fiscal Studies</w:t>
      </w:r>
      <w:r w:rsidRPr="00AC6BA5">
        <w:rPr>
          <w:rFonts w:ascii="Times New Roman" w:eastAsia="Times New Roman" w:hAnsi="Times New Roman" w:cs="Times New Roman"/>
          <w:sz w:val="24"/>
          <w:szCs w:val="24"/>
        </w:rPr>
        <w:t xml:space="preserve">, </w:t>
      </w:r>
      <w:r w:rsidRPr="00AC6BA5">
        <w:rPr>
          <w:rFonts w:ascii="Times New Roman" w:eastAsia="Times New Roman" w:hAnsi="Times New Roman" w:cs="Times New Roman"/>
          <w:i/>
          <w:iCs/>
          <w:sz w:val="24"/>
          <w:szCs w:val="24"/>
        </w:rPr>
        <w:t>42</w:t>
      </w:r>
      <w:r w:rsidRPr="00AC6BA5">
        <w:rPr>
          <w:rFonts w:ascii="Times New Roman" w:eastAsia="Times New Roman" w:hAnsi="Times New Roman" w:cs="Times New Roman"/>
          <w:sz w:val="24"/>
          <w:szCs w:val="24"/>
        </w:rPr>
        <w:t>(3-4), 599-613.</w:t>
      </w:r>
    </w:p>
    <w:p w14:paraId="1D8010C1" w14:textId="77777777" w:rsidR="006F3710" w:rsidRPr="00AC6BA5" w:rsidRDefault="006F3710" w:rsidP="00BA6C88">
      <w:pPr>
        <w:spacing w:before="100" w:beforeAutospacing="1" w:line="480" w:lineRule="auto"/>
        <w:ind w:left="720" w:hanging="720"/>
        <w:jc w:val="both"/>
        <w:rPr>
          <w:rFonts w:ascii="Times New Roman" w:eastAsia="Times New Roman" w:hAnsi="Times New Roman" w:cs="Times New Roman"/>
          <w:sz w:val="24"/>
          <w:szCs w:val="24"/>
        </w:rPr>
      </w:pPr>
      <w:r w:rsidRPr="00AC6BA5">
        <w:rPr>
          <w:rFonts w:ascii="Times New Roman" w:eastAsia="Times New Roman" w:hAnsi="Times New Roman" w:cs="Times New Roman"/>
          <w:sz w:val="24"/>
          <w:szCs w:val="24"/>
        </w:rPr>
        <w:t xml:space="preserve">Fama, E. F., &amp; Jensen, M. C. (1983). Separation of ownership and control. </w:t>
      </w:r>
      <w:r w:rsidRPr="00AC6BA5">
        <w:rPr>
          <w:rFonts w:ascii="Times New Roman" w:eastAsia="Times New Roman" w:hAnsi="Times New Roman" w:cs="Times New Roman"/>
          <w:i/>
          <w:iCs/>
          <w:sz w:val="24"/>
          <w:szCs w:val="24"/>
        </w:rPr>
        <w:t>The Journal of Law &amp; Economics</w:t>
      </w:r>
      <w:r w:rsidRPr="00AC6BA5">
        <w:rPr>
          <w:rFonts w:ascii="Times New Roman" w:eastAsia="Times New Roman" w:hAnsi="Times New Roman" w:cs="Times New Roman"/>
          <w:sz w:val="24"/>
          <w:szCs w:val="24"/>
        </w:rPr>
        <w:t xml:space="preserve">, </w:t>
      </w:r>
      <w:r w:rsidRPr="00AC6BA5">
        <w:rPr>
          <w:rFonts w:ascii="Times New Roman" w:eastAsia="Times New Roman" w:hAnsi="Times New Roman" w:cs="Times New Roman"/>
          <w:i/>
          <w:iCs/>
          <w:sz w:val="24"/>
          <w:szCs w:val="24"/>
        </w:rPr>
        <w:t>26</w:t>
      </w:r>
      <w:r w:rsidRPr="00AC6BA5">
        <w:rPr>
          <w:rFonts w:ascii="Times New Roman" w:eastAsia="Times New Roman" w:hAnsi="Times New Roman" w:cs="Times New Roman"/>
          <w:sz w:val="24"/>
          <w:szCs w:val="24"/>
        </w:rPr>
        <w:t>(2), 301-325.</w:t>
      </w:r>
    </w:p>
    <w:p w14:paraId="550F6FE3" w14:textId="77777777" w:rsidR="006F3710" w:rsidRPr="00AC6BA5" w:rsidRDefault="006F3710" w:rsidP="00BA6C88">
      <w:pPr>
        <w:spacing w:before="100" w:beforeAutospacing="1" w:line="480" w:lineRule="auto"/>
        <w:ind w:left="720" w:hanging="720"/>
        <w:jc w:val="both"/>
        <w:rPr>
          <w:rFonts w:ascii="Times New Roman" w:eastAsia="Times New Roman" w:hAnsi="Times New Roman" w:cs="Times New Roman"/>
          <w:sz w:val="24"/>
          <w:szCs w:val="24"/>
        </w:rPr>
      </w:pPr>
      <w:r w:rsidRPr="00AC6BA5">
        <w:rPr>
          <w:rFonts w:ascii="Times New Roman" w:eastAsia="Times New Roman" w:hAnsi="Times New Roman" w:cs="Times New Roman"/>
          <w:sz w:val="24"/>
          <w:szCs w:val="24"/>
        </w:rPr>
        <w:t xml:space="preserve">Fonfara, J. P., &amp; McCool, C. R. (1988). Wyoming Limited Liability Company: A Viable Alternative to the S Corporation and the Limited Partnership, The. </w:t>
      </w:r>
      <w:r w:rsidRPr="00AC6BA5">
        <w:rPr>
          <w:rFonts w:ascii="Times New Roman" w:eastAsia="Times New Roman" w:hAnsi="Times New Roman" w:cs="Times New Roman"/>
          <w:i/>
          <w:iCs/>
          <w:sz w:val="24"/>
          <w:szCs w:val="24"/>
        </w:rPr>
        <w:t>Land &amp; Water L. Rev.</w:t>
      </w:r>
      <w:r w:rsidRPr="00AC6BA5">
        <w:rPr>
          <w:rFonts w:ascii="Times New Roman" w:eastAsia="Times New Roman" w:hAnsi="Times New Roman" w:cs="Times New Roman"/>
          <w:sz w:val="24"/>
          <w:szCs w:val="24"/>
        </w:rPr>
        <w:t xml:space="preserve">, </w:t>
      </w:r>
      <w:r w:rsidRPr="00AC6BA5">
        <w:rPr>
          <w:rFonts w:ascii="Times New Roman" w:eastAsia="Times New Roman" w:hAnsi="Times New Roman" w:cs="Times New Roman"/>
          <w:i/>
          <w:iCs/>
          <w:sz w:val="24"/>
          <w:szCs w:val="24"/>
        </w:rPr>
        <w:t>23</w:t>
      </w:r>
      <w:r w:rsidRPr="00AC6BA5">
        <w:rPr>
          <w:rFonts w:ascii="Times New Roman" w:eastAsia="Times New Roman" w:hAnsi="Times New Roman" w:cs="Times New Roman"/>
          <w:sz w:val="24"/>
          <w:szCs w:val="24"/>
        </w:rPr>
        <w:t>, 523.</w:t>
      </w:r>
    </w:p>
    <w:p w14:paraId="4C444502" w14:textId="77777777" w:rsidR="006F3710" w:rsidRPr="00AC6BA5" w:rsidRDefault="006F3710" w:rsidP="00BA6C88">
      <w:pPr>
        <w:spacing w:before="100" w:beforeAutospacing="1" w:line="480" w:lineRule="auto"/>
        <w:ind w:left="720" w:hanging="720"/>
        <w:contextualSpacing/>
        <w:jc w:val="both"/>
        <w:rPr>
          <w:rFonts w:ascii="Times New Roman" w:eastAsia="Times New Roman" w:hAnsi="Times New Roman" w:cs="Times New Roman"/>
          <w:sz w:val="24"/>
          <w:szCs w:val="24"/>
        </w:rPr>
      </w:pPr>
      <w:r w:rsidRPr="00AC6BA5">
        <w:rPr>
          <w:rFonts w:ascii="Times New Roman" w:eastAsia="Times New Roman" w:hAnsi="Times New Roman" w:cs="Times New Roman"/>
          <w:sz w:val="24"/>
          <w:szCs w:val="24"/>
        </w:rPr>
        <w:t xml:space="preserve">Lawless, M., &amp; Lynch, D. (2017). </w:t>
      </w:r>
      <w:r w:rsidRPr="00AC6BA5">
        <w:rPr>
          <w:rFonts w:ascii="Times New Roman" w:eastAsia="Times New Roman" w:hAnsi="Times New Roman" w:cs="Times New Roman"/>
          <w:i/>
          <w:iCs/>
          <w:sz w:val="24"/>
          <w:szCs w:val="24"/>
        </w:rPr>
        <w:t>Gifts and inheritances in Ireland</w:t>
      </w:r>
      <w:r w:rsidRPr="00AC6BA5">
        <w:rPr>
          <w:rFonts w:ascii="Times New Roman" w:eastAsia="Times New Roman" w:hAnsi="Times New Roman" w:cs="Times New Roman"/>
          <w:sz w:val="24"/>
          <w:szCs w:val="24"/>
        </w:rPr>
        <w:t xml:space="preserve"> (No. 579). ESRI Working Paper.</w:t>
      </w:r>
    </w:p>
    <w:p w14:paraId="72184CFE" w14:textId="77777777" w:rsidR="006F3710" w:rsidRPr="00AC6BA5" w:rsidRDefault="006F3710" w:rsidP="00BA6C88">
      <w:pPr>
        <w:spacing w:before="100" w:beforeAutospacing="1" w:line="480" w:lineRule="auto"/>
        <w:ind w:left="720" w:hanging="720"/>
        <w:jc w:val="both"/>
        <w:rPr>
          <w:rFonts w:ascii="Times New Roman" w:eastAsia="Times New Roman" w:hAnsi="Times New Roman" w:cs="Times New Roman"/>
          <w:sz w:val="24"/>
          <w:szCs w:val="24"/>
        </w:rPr>
      </w:pPr>
      <w:proofErr w:type="spellStart"/>
      <w:r w:rsidRPr="00AC6BA5">
        <w:rPr>
          <w:rFonts w:ascii="Times New Roman" w:eastAsia="Times New Roman" w:hAnsi="Times New Roman" w:cs="Times New Roman"/>
          <w:sz w:val="24"/>
          <w:szCs w:val="24"/>
        </w:rPr>
        <w:lastRenderedPageBreak/>
        <w:t>Lordkipanidze</w:t>
      </w:r>
      <w:proofErr w:type="spellEnd"/>
      <w:r w:rsidRPr="00AC6BA5">
        <w:rPr>
          <w:rFonts w:ascii="Times New Roman" w:eastAsia="Times New Roman" w:hAnsi="Times New Roman" w:cs="Times New Roman"/>
          <w:sz w:val="24"/>
          <w:szCs w:val="24"/>
        </w:rPr>
        <w:t xml:space="preserve">, R. (2019). The Era of Google-the First Signs of a Real-World Market: We Must Heed God's Will. </w:t>
      </w:r>
      <w:r w:rsidRPr="00AC6BA5">
        <w:rPr>
          <w:rFonts w:ascii="Times New Roman" w:eastAsia="Times New Roman" w:hAnsi="Times New Roman" w:cs="Times New Roman"/>
          <w:i/>
          <w:iCs/>
          <w:sz w:val="24"/>
          <w:szCs w:val="24"/>
        </w:rPr>
        <w:t>Tbilisi, General Coordinator of International Charity Scientific-Research Partnership</w:t>
      </w:r>
      <w:r w:rsidRPr="00AC6BA5">
        <w:rPr>
          <w:rFonts w:ascii="Times New Roman" w:eastAsia="Times New Roman" w:hAnsi="Times New Roman" w:cs="Times New Roman"/>
          <w:sz w:val="24"/>
          <w:szCs w:val="24"/>
        </w:rPr>
        <w:t xml:space="preserve">, </w:t>
      </w:r>
      <w:r w:rsidRPr="00AC6BA5">
        <w:rPr>
          <w:rFonts w:ascii="Times New Roman" w:eastAsia="Times New Roman" w:hAnsi="Times New Roman" w:cs="Times New Roman"/>
          <w:i/>
          <w:iCs/>
          <w:sz w:val="24"/>
          <w:szCs w:val="24"/>
        </w:rPr>
        <w:t>17</w:t>
      </w:r>
      <w:r w:rsidRPr="00AC6BA5">
        <w:rPr>
          <w:rFonts w:ascii="Times New Roman" w:eastAsia="Times New Roman" w:hAnsi="Times New Roman" w:cs="Times New Roman"/>
          <w:sz w:val="24"/>
          <w:szCs w:val="24"/>
        </w:rPr>
        <w:t>.</w:t>
      </w:r>
    </w:p>
    <w:p w14:paraId="294EA25D" w14:textId="77777777" w:rsidR="006F3710" w:rsidRPr="00AC6BA5" w:rsidRDefault="006F3710" w:rsidP="00BA6C88">
      <w:pPr>
        <w:spacing w:before="100" w:beforeAutospacing="1" w:line="480" w:lineRule="auto"/>
        <w:ind w:left="720" w:hanging="720"/>
        <w:contextualSpacing/>
        <w:jc w:val="both"/>
        <w:rPr>
          <w:rFonts w:ascii="Times New Roman" w:eastAsia="Times New Roman" w:hAnsi="Times New Roman" w:cs="Times New Roman"/>
          <w:sz w:val="24"/>
          <w:szCs w:val="24"/>
        </w:rPr>
      </w:pPr>
      <w:r w:rsidRPr="00AC6BA5">
        <w:rPr>
          <w:rFonts w:ascii="Times New Roman" w:eastAsia="Times New Roman" w:hAnsi="Times New Roman" w:cs="Times New Roman"/>
          <w:sz w:val="24"/>
          <w:szCs w:val="24"/>
        </w:rPr>
        <w:t xml:space="preserve">Mark </w:t>
      </w:r>
      <w:proofErr w:type="spellStart"/>
      <w:r w:rsidRPr="00AC6BA5">
        <w:rPr>
          <w:rFonts w:ascii="Times New Roman" w:eastAsia="Times New Roman" w:hAnsi="Times New Roman" w:cs="Times New Roman"/>
          <w:sz w:val="24"/>
          <w:szCs w:val="24"/>
        </w:rPr>
        <w:t>Aquilio</w:t>
      </w:r>
      <w:proofErr w:type="spellEnd"/>
      <w:r w:rsidRPr="00AC6BA5">
        <w:rPr>
          <w:rFonts w:ascii="Times New Roman" w:eastAsia="Times New Roman" w:hAnsi="Times New Roman" w:cs="Times New Roman"/>
          <w:sz w:val="24"/>
          <w:szCs w:val="24"/>
        </w:rPr>
        <w:t xml:space="preserve">, C. P. A. (2019). S corp. expenses not personally deductible by shareholder as a sole proprietor. </w:t>
      </w:r>
      <w:r w:rsidRPr="00AC6BA5">
        <w:rPr>
          <w:rFonts w:ascii="Times New Roman" w:eastAsia="Times New Roman" w:hAnsi="Times New Roman" w:cs="Times New Roman"/>
          <w:i/>
          <w:iCs/>
          <w:sz w:val="24"/>
          <w:szCs w:val="24"/>
        </w:rPr>
        <w:t>Journal of Accountancy</w:t>
      </w:r>
      <w:r w:rsidRPr="00AC6BA5">
        <w:rPr>
          <w:rFonts w:ascii="Times New Roman" w:eastAsia="Times New Roman" w:hAnsi="Times New Roman" w:cs="Times New Roman"/>
          <w:sz w:val="24"/>
          <w:szCs w:val="24"/>
        </w:rPr>
        <w:t xml:space="preserve">, </w:t>
      </w:r>
      <w:r w:rsidRPr="00AC6BA5">
        <w:rPr>
          <w:rFonts w:ascii="Times New Roman" w:eastAsia="Times New Roman" w:hAnsi="Times New Roman" w:cs="Times New Roman"/>
          <w:i/>
          <w:iCs/>
          <w:sz w:val="24"/>
          <w:szCs w:val="24"/>
        </w:rPr>
        <w:t>228</w:t>
      </w:r>
      <w:r w:rsidRPr="00AC6BA5">
        <w:rPr>
          <w:rFonts w:ascii="Times New Roman" w:eastAsia="Times New Roman" w:hAnsi="Times New Roman" w:cs="Times New Roman"/>
          <w:sz w:val="24"/>
          <w:szCs w:val="24"/>
        </w:rPr>
        <w:t>(1), 62-63.</w:t>
      </w:r>
    </w:p>
    <w:p w14:paraId="48B78773" w14:textId="77777777" w:rsidR="006F3710" w:rsidRPr="00985402" w:rsidRDefault="006F3710" w:rsidP="00BA6C88">
      <w:pPr>
        <w:spacing w:before="100" w:beforeAutospacing="1"/>
        <w:ind w:left="720" w:hanging="720"/>
        <w:jc w:val="both"/>
        <w:rPr>
          <w:rFonts w:ascii="Times New Roman" w:hAnsi="Times New Roman" w:cs="Times New Roman"/>
          <w:sz w:val="24"/>
          <w:szCs w:val="24"/>
        </w:rPr>
      </w:pPr>
      <w:r w:rsidRPr="00985402">
        <w:rPr>
          <w:rFonts w:ascii="Times New Roman" w:hAnsi="Times New Roman" w:cs="Times New Roman"/>
          <w:sz w:val="24"/>
          <w:szCs w:val="24"/>
        </w:rPr>
        <w:t>Michael, J. M. B., &amp; Gagliardi, K. F. E. (2016). Estate and Gift Taxation of Life Insurance. Modern Estate Planning, 1.</w:t>
      </w:r>
    </w:p>
    <w:p w14:paraId="43D4336C" w14:textId="77777777" w:rsidR="006F3710" w:rsidRPr="00AC6BA5" w:rsidRDefault="006F3710" w:rsidP="00BA6C88">
      <w:pPr>
        <w:spacing w:before="100" w:beforeAutospacing="1" w:line="480" w:lineRule="auto"/>
        <w:ind w:left="720" w:hanging="720"/>
        <w:jc w:val="both"/>
        <w:rPr>
          <w:rStyle w:val="qa-interaction-thread-content"/>
          <w:rFonts w:ascii="Times New Roman" w:hAnsi="Times New Roman" w:cs="Times New Roman"/>
          <w:sz w:val="24"/>
          <w:szCs w:val="24"/>
        </w:rPr>
      </w:pPr>
      <w:r w:rsidRPr="00AC6BA5">
        <w:rPr>
          <w:rStyle w:val="qa-interaction-thread-content"/>
          <w:rFonts w:ascii="Times New Roman" w:hAnsi="Times New Roman" w:cs="Times New Roman"/>
          <w:sz w:val="24"/>
          <w:szCs w:val="24"/>
        </w:rPr>
        <w:t xml:space="preserve">MyNewCompany.com, Inc. (2001-2016), which type of Business Entity to Choose? Retrieved from: </w:t>
      </w:r>
      <w:hyperlink r:id="rId8" w:history="1">
        <w:r w:rsidRPr="00AC6BA5">
          <w:rPr>
            <w:rStyle w:val="Hyperlink"/>
            <w:rFonts w:ascii="Times New Roman" w:hAnsi="Times New Roman" w:cs="Times New Roman"/>
            <w:sz w:val="24"/>
            <w:szCs w:val="24"/>
          </w:rPr>
          <w:t>www.mynewcompany.com/entity.html</w:t>
        </w:r>
      </w:hyperlink>
    </w:p>
    <w:p w14:paraId="3EC59E9C" w14:textId="77777777" w:rsidR="006F3710" w:rsidRPr="00AC6BA5" w:rsidRDefault="006F3710" w:rsidP="00BA6C88">
      <w:pPr>
        <w:spacing w:before="100" w:beforeAutospacing="1" w:line="480" w:lineRule="auto"/>
        <w:ind w:left="720" w:hanging="720"/>
        <w:contextualSpacing/>
        <w:jc w:val="both"/>
        <w:rPr>
          <w:rFonts w:ascii="Times New Roman" w:hAnsi="Times New Roman" w:cs="Times New Roman"/>
          <w:sz w:val="24"/>
          <w:szCs w:val="24"/>
        </w:rPr>
      </w:pPr>
      <w:r w:rsidRPr="00AC6BA5">
        <w:rPr>
          <w:rFonts w:ascii="Times New Roman" w:hAnsi="Times New Roman" w:cs="Times New Roman"/>
          <w:sz w:val="24"/>
          <w:szCs w:val="24"/>
        </w:rPr>
        <w:t>Nitti, T. (2013, December 13). Determining the Taxability of S Corporation Distributions: Part I.</w:t>
      </w:r>
      <w:r w:rsidRPr="00AC6BA5">
        <w:rPr>
          <w:rFonts w:ascii="Times New Roman" w:hAnsi="Times New Roman" w:cs="Times New Roman"/>
          <w:sz w:val="24"/>
          <w:szCs w:val="24"/>
        </w:rPr>
        <w:br/>
        <w:t xml:space="preserve">Retrieved June 20, 2016, from </w:t>
      </w:r>
      <w:hyperlink r:id="rId9" w:history="1">
        <w:r w:rsidRPr="00AC6BA5">
          <w:rPr>
            <w:rStyle w:val="Hyperlink"/>
            <w:rFonts w:ascii="Times New Roman" w:hAnsi="Times New Roman" w:cs="Times New Roman"/>
            <w:sz w:val="24"/>
            <w:szCs w:val="24"/>
          </w:rPr>
          <w:t>http://www.thetaxadviser.com/issues/2014/jan/nittijan2014.html</w:t>
        </w:r>
      </w:hyperlink>
    </w:p>
    <w:p w14:paraId="3E62A17C" w14:textId="77777777" w:rsidR="006F3710" w:rsidRPr="00AC6BA5" w:rsidRDefault="006F3710" w:rsidP="00BA6C88">
      <w:pPr>
        <w:spacing w:before="100" w:beforeAutospacing="1" w:line="480" w:lineRule="auto"/>
        <w:ind w:left="720" w:hanging="720"/>
        <w:jc w:val="both"/>
        <w:rPr>
          <w:rFonts w:ascii="Times New Roman" w:hAnsi="Times New Roman" w:cs="Times New Roman"/>
          <w:sz w:val="24"/>
          <w:szCs w:val="24"/>
        </w:rPr>
      </w:pPr>
      <w:r w:rsidRPr="00AC6BA5">
        <w:rPr>
          <w:rStyle w:val="qa-interaction-thread-content"/>
          <w:rFonts w:ascii="Times New Roman" w:hAnsi="Times New Roman" w:cs="Times New Roman"/>
          <w:sz w:val="24"/>
          <w:szCs w:val="24"/>
        </w:rPr>
        <w:t>Owen E. Richason IV, What Are the Benefits of Becoming Incorporated? Retrieved from: smallbusiness.chron.com/benefits-becoming-incorporated-3935.html</w:t>
      </w:r>
    </w:p>
    <w:p w14:paraId="68D9F194" w14:textId="77777777" w:rsidR="006F3710" w:rsidRPr="00AC6BA5" w:rsidRDefault="006F3710" w:rsidP="00BA6C88">
      <w:pPr>
        <w:spacing w:before="100" w:beforeAutospacing="1" w:line="480" w:lineRule="auto"/>
        <w:ind w:left="720" w:hanging="720"/>
        <w:contextualSpacing/>
        <w:jc w:val="both"/>
        <w:rPr>
          <w:rFonts w:ascii="Times New Roman" w:hAnsi="Times New Roman" w:cs="Times New Roman"/>
          <w:sz w:val="24"/>
          <w:szCs w:val="24"/>
        </w:rPr>
      </w:pPr>
      <w:r w:rsidRPr="00AC6BA5">
        <w:rPr>
          <w:rFonts w:ascii="Times New Roman" w:hAnsi="Times New Roman" w:cs="Times New Roman"/>
          <w:sz w:val="24"/>
          <w:szCs w:val="24"/>
        </w:rPr>
        <w:t>Pope, T. R., Rupert, T. J., &amp; Anderson, K. E. (2015). Prentice hall’s federal taxation 2016</w:t>
      </w:r>
      <w:r w:rsidRPr="00AC6BA5">
        <w:rPr>
          <w:rFonts w:ascii="Times New Roman" w:hAnsi="Times New Roman" w:cs="Times New Roman"/>
          <w:sz w:val="24"/>
          <w:szCs w:val="24"/>
        </w:rPr>
        <w:br/>
        <w:t>corporations, partnerships, estates &amp; trusts. United States: Prentice Hall</w:t>
      </w:r>
    </w:p>
    <w:p w14:paraId="0C15AB50" w14:textId="77777777" w:rsidR="006F3710" w:rsidRPr="00AC6BA5" w:rsidRDefault="006F3710" w:rsidP="00BA6C88">
      <w:pPr>
        <w:spacing w:before="100" w:beforeAutospacing="1" w:line="480" w:lineRule="auto"/>
        <w:ind w:left="720" w:hanging="720"/>
        <w:jc w:val="both"/>
        <w:rPr>
          <w:rFonts w:ascii="Times New Roman" w:eastAsia="Times New Roman" w:hAnsi="Times New Roman" w:cs="Times New Roman"/>
          <w:sz w:val="24"/>
          <w:szCs w:val="24"/>
        </w:rPr>
      </w:pPr>
      <w:r w:rsidRPr="00AC6BA5">
        <w:rPr>
          <w:rFonts w:ascii="Times New Roman" w:eastAsia="Times New Roman" w:hAnsi="Times New Roman" w:cs="Times New Roman"/>
          <w:sz w:val="24"/>
          <w:szCs w:val="24"/>
        </w:rPr>
        <w:t xml:space="preserve">Schlesinger, M. R. (1947). " Thin" Incorporations: Income Tax Advantages and Pitfalls. </w:t>
      </w:r>
      <w:r w:rsidRPr="00AC6BA5">
        <w:rPr>
          <w:rFonts w:ascii="Times New Roman" w:eastAsia="Times New Roman" w:hAnsi="Times New Roman" w:cs="Times New Roman"/>
          <w:i/>
          <w:iCs/>
          <w:sz w:val="24"/>
          <w:szCs w:val="24"/>
        </w:rPr>
        <w:t>Harvard Law Review</w:t>
      </w:r>
      <w:r w:rsidRPr="00AC6BA5">
        <w:rPr>
          <w:rFonts w:ascii="Times New Roman" w:eastAsia="Times New Roman" w:hAnsi="Times New Roman" w:cs="Times New Roman"/>
          <w:sz w:val="24"/>
          <w:szCs w:val="24"/>
        </w:rPr>
        <w:t xml:space="preserve">, </w:t>
      </w:r>
      <w:r w:rsidRPr="00AC6BA5">
        <w:rPr>
          <w:rFonts w:ascii="Times New Roman" w:eastAsia="Times New Roman" w:hAnsi="Times New Roman" w:cs="Times New Roman"/>
          <w:i/>
          <w:iCs/>
          <w:sz w:val="24"/>
          <w:szCs w:val="24"/>
        </w:rPr>
        <w:t>61</w:t>
      </w:r>
      <w:r w:rsidRPr="00AC6BA5">
        <w:rPr>
          <w:rFonts w:ascii="Times New Roman" w:eastAsia="Times New Roman" w:hAnsi="Times New Roman" w:cs="Times New Roman"/>
          <w:sz w:val="24"/>
          <w:szCs w:val="24"/>
        </w:rPr>
        <w:t>(1), 50-87.</w:t>
      </w:r>
    </w:p>
    <w:p w14:paraId="5F98A70A" w14:textId="77777777" w:rsidR="00AC6BA5" w:rsidRPr="00AC6BA5" w:rsidRDefault="00AC6BA5" w:rsidP="00BA6C88">
      <w:pPr>
        <w:spacing w:before="100" w:beforeAutospacing="1"/>
        <w:jc w:val="both"/>
        <w:rPr>
          <w:rFonts w:ascii="Times New Roman" w:hAnsi="Times New Roman" w:cs="Times New Roman"/>
          <w:b/>
          <w:bCs/>
          <w:sz w:val="24"/>
          <w:szCs w:val="24"/>
        </w:rPr>
      </w:pPr>
    </w:p>
    <w:sectPr w:rsidR="00AC6BA5" w:rsidRPr="00AC6BA5" w:rsidSect="00B7643F">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5B9C9" w14:textId="77777777" w:rsidR="006964AE" w:rsidRDefault="006964AE" w:rsidP="00AC771A">
      <w:pPr>
        <w:spacing w:after="0" w:line="240" w:lineRule="auto"/>
      </w:pPr>
      <w:r>
        <w:separator/>
      </w:r>
    </w:p>
  </w:endnote>
  <w:endnote w:type="continuationSeparator" w:id="0">
    <w:p w14:paraId="5A7771A8" w14:textId="77777777" w:rsidR="006964AE" w:rsidRDefault="006964AE" w:rsidP="00AC7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4B7FA" w14:textId="77777777" w:rsidR="006964AE" w:rsidRDefault="006964AE" w:rsidP="00AC771A">
      <w:pPr>
        <w:spacing w:after="0" w:line="240" w:lineRule="auto"/>
      </w:pPr>
      <w:r>
        <w:separator/>
      </w:r>
    </w:p>
  </w:footnote>
  <w:footnote w:type="continuationSeparator" w:id="0">
    <w:p w14:paraId="1D29254E" w14:textId="77777777" w:rsidR="006964AE" w:rsidRDefault="006964AE" w:rsidP="00AC77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9342216"/>
      <w:docPartObj>
        <w:docPartGallery w:val="Page Numbers (Top of Page)"/>
        <w:docPartUnique/>
      </w:docPartObj>
    </w:sdtPr>
    <w:sdtEndPr>
      <w:rPr>
        <w:noProof/>
      </w:rPr>
    </w:sdtEndPr>
    <w:sdtContent>
      <w:p w14:paraId="454841FA" w14:textId="30E2BF9F" w:rsidR="00AC771A" w:rsidRDefault="00AC771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272F056" w14:textId="77777777" w:rsidR="00AC771A" w:rsidRDefault="00AC77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E3CB4"/>
    <w:multiLevelType w:val="hybridMultilevel"/>
    <w:tmpl w:val="092C5A66"/>
    <w:lvl w:ilvl="0" w:tplc="04090001">
      <w:start w:val="1"/>
      <w:numFmt w:val="bullet"/>
      <w:lvlText w:val=""/>
      <w:lvlJc w:val="left"/>
      <w:pPr>
        <w:ind w:left="1079" w:hanging="360"/>
      </w:pPr>
      <w:rPr>
        <w:rFonts w:ascii="Symbol" w:hAnsi="Symbol" w:hint="default"/>
      </w:rPr>
    </w:lvl>
    <w:lvl w:ilvl="1" w:tplc="04090003" w:tentative="1">
      <w:start w:val="1"/>
      <w:numFmt w:val="bullet"/>
      <w:lvlText w:val="o"/>
      <w:lvlJc w:val="left"/>
      <w:pPr>
        <w:ind w:left="1799" w:hanging="360"/>
      </w:pPr>
      <w:rPr>
        <w:rFonts w:ascii="Courier New" w:hAnsi="Courier New" w:cs="Courier New" w:hint="default"/>
      </w:rPr>
    </w:lvl>
    <w:lvl w:ilvl="2" w:tplc="04090005" w:tentative="1">
      <w:start w:val="1"/>
      <w:numFmt w:val="bullet"/>
      <w:lvlText w:val=""/>
      <w:lvlJc w:val="left"/>
      <w:pPr>
        <w:ind w:left="2519" w:hanging="360"/>
      </w:pPr>
      <w:rPr>
        <w:rFonts w:ascii="Wingdings" w:hAnsi="Wingdings" w:hint="default"/>
      </w:rPr>
    </w:lvl>
    <w:lvl w:ilvl="3" w:tplc="04090001" w:tentative="1">
      <w:start w:val="1"/>
      <w:numFmt w:val="bullet"/>
      <w:lvlText w:val=""/>
      <w:lvlJc w:val="left"/>
      <w:pPr>
        <w:ind w:left="3239" w:hanging="360"/>
      </w:pPr>
      <w:rPr>
        <w:rFonts w:ascii="Symbol" w:hAnsi="Symbol" w:hint="default"/>
      </w:rPr>
    </w:lvl>
    <w:lvl w:ilvl="4" w:tplc="04090003" w:tentative="1">
      <w:start w:val="1"/>
      <w:numFmt w:val="bullet"/>
      <w:lvlText w:val="o"/>
      <w:lvlJc w:val="left"/>
      <w:pPr>
        <w:ind w:left="3959" w:hanging="360"/>
      </w:pPr>
      <w:rPr>
        <w:rFonts w:ascii="Courier New" w:hAnsi="Courier New" w:cs="Courier New" w:hint="default"/>
      </w:rPr>
    </w:lvl>
    <w:lvl w:ilvl="5" w:tplc="04090005" w:tentative="1">
      <w:start w:val="1"/>
      <w:numFmt w:val="bullet"/>
      <w:lvlText w:val=""/>
      <w:lvlJc w:val="left"/>
      <w:pPr>
        <w:ind w:left="4679" w:hanging="360"/>
      </w:pPr>
      <w:rPr>
        <w:rFonts w:ascii="Wingdings" w:hAnsi="Wingdings" w:hint="default"/>
      </w:rPr>
    </w:lvl>
    <w:lvl w:ilvl="6" w:tplc="04090001" w:tentative="1">
      <w:start w:val="1"/>
      <w:numFmt w:val="bullet"/>
      <w:lvlText w:val=""/>
      <w:lvlJc w:val="left"/>
      <w:pPr>
        <w:ind w:left="5399" w:hanging="360"/>
      </w:pPr>
      <w:rPr>
        <w:rFonts w:ascii="Symbol" w:hAnsi="Symbol" w:hint="default"/>
      </w:rPr>
    </w:lvl>
    <w:lvl w:ilvl="7" w:tplc="04090003" w:tentative="1">
      <w:start w:val="1"/>
      <w:numFmt w:val="bullet"/>
      <w:lvlText w:val="o"/>
      <w:lvlJc w:val="left"/>
      <w:pPr>
        <w:ind w:left="6119" w:hanging="360"/>
      </w:pPr>
      <w:rPr>
        <w:rFonts w:ascii="Courier New" w:hAnsi="Courier New" w:cs="Courier New" w:hint="default"/>
      </w:rPr>
    </w:lvl>
    <w:lvl w:ilvl="8" w:tplc="04090005" w:tentative="1">
      <w:start w:val="1"/>
      <w:numFmt w:val="bullet"/>
      <w:lvlText w:val=""/>
      <w:lvlJc w:val="left"/>
      <w:pPr>
        <w:ind w:left="6839" w:hanging="360"/>
      </w:pPr>
      <w:rPr>
        <w:rFonts w:ascii="Wingdings" w:hAnsi="Wingdings" w:hint="default"/>
      </w:rPr>
    </w:lvl>
  </w:abstractNum>
  <w:abstractNum w:abstractNumId="1" w15:restartNumberingAfterBreak="0">
    <w:nsid w:val="36D551DC"/>
    <w:multiLevelType w:val="hybridMultilevel"/>
    <w:tmpl w:val="53567C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2E61D0"/>
    <w:multiLevelType w:val="hybridMultilevel"/>
    <w:tmpl w:val="5986E51E"/>
    <w:lvl w:ilvl="0" w:tplc="D9008A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FC0CDE"/>
    <w:multiLevelType w:val="hybridMultilevel"/>
    <w:tmpl w:val="A9DE2244"/>
    <w:lvl w:ilvl="0" w:tplc="48041A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6FC028F"/>
    <w:multiLevelType w:val="hybridMultilevel"/>
    <w:tmpl w:val="D26C3580"/>
    <w:lvl w:ilvl="0" w:tplc="95E641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D94598A"/>
    <w:multiLevelType w:val="hybridMultilevel"/>
    <w:tmpl w:val="A81497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D0B"/>
    <w:rsid w:val="00001B4F"/>
    <w:rsid w:val="00022500"/>
    <w:rsid w:val="00091EFD"/>
    <w:rsid w:val="00102E98"/>
    <w:rsid w:val="002B0D1B"/>
    <w:rsid w:val="00324715"/>
    <w:rsid w:val="003677F5"/>
    <w:rsid w:val="00526945"/>
    <w:rsid w:val="00637DA7"/>
    <w:rsid w:val="00663B57"/>
    <w:rsid w:val="0068606A"/>
    <w:rsid w:val="006964AE"/>
    <w:rsid w:val="006B2592"/>
    <w:rsid w:val="006C0D2C"/>
    <w:rsid w:val="006F3710"/>
    <w:rsid w:val="0078625F"/>
    <w:rsid w:val="00813616"/>
    <w:rsid w:val="008354FF"/>
    <w:rsid w:val="0086284B"/>
    <w:rsid w:val="00902777"/>
    <w:rsid w:val="00A171BA"/>
    <w:rsid w:val="00A31D0B"/>
    <w:rsid w:val="00A517FB"/>
    <w:rsid w:val="00AC6BA5"/>
    <w:rsid w:val="00AC74F4"/>
    <w:rsid w:val="00AC771A"/>
    <w:rsid w:val="00AF6EE5"/>
    <w:rsid w:val="00B7643F"/>
    <w:rsid w:val="00BA6C88"/>
    <w:rsid w:val="00C53DAE"/>
    <w:rsid w:val="00C56DFB"/>
    <w:rsid w:val="00D448C5"/>
    <w:rsid w:val="00DA5D51"/>
    <w:rsid w:val="00DF1723"/>
    <w:rsid w:val="00FC2022"/>
    <w:rsid w:val="00FF3873"/>
    <w:rsid w:val="00FF79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FECE0"/>
  <w15:chartTrackingRefBased/>
  <w15:docId w15:val="{1B61E314-E1C0-497C-B54F-55C9A8D4D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qa-interaction-thread-content">
    <w:name w:val="qa-interaction-thread-content"/>
    <w:basedOn w:val="DefaultParagraphFont"/>
    <w:rsid w:val="00A31D0B"/>
  </w:style>
  <w:style w:type="character" w:customStyle="1" w:styleId="fontstyle01">
    <w:name w:val="fontstyle01"/>
    <w:basedOn w:val="DefaultParagraphFont"/>
    <w:rsid w:val="00A31D0B"/>
    <w:rPr>
      <w:rFonts w:ascii="Calibri" w:hAnsi="Calibri" w:cs="Calibri" w:hint="default"/>
      <w:b w:val="0"/>
      <w:bCs w:val="0"/>
      <w:i w:val="0"/>
      <w:iCs w:val="0"/>
      <w:color w:val="000000"/>
      <w:sz w:val="22"/>
      <w:szCs w:val="22"/>
    </w:rPr>
  </w:style>
  <w:style w:type="paragraph" w:styleId="ListParagraph">
    <w:name w:val="List Paragraph"/>
    <w:basedOn w:val="Normal"/>
    <w:uiPriority w:val="34"/>
    <w:qFormat/>
    <w:rsid w:val="00FC2022"/>
    <w:pPr>
      <w:spacing w:after="200" w:line="276" w:lineRule="auto"/>
      <w:ind w:left="720"/>
      <w:contextualSpacing/>
    </w:pPr>
  </w:style>
  <w:style w:type="character" w:customStyle="1" w:styleId="markedcontent">
    <w:name w:val="markedcontent"/>
    <w:basedOn w:val="DefaultParagraphFont"/>
    <w:rsid w:val="00FC2022"/>
  </w:style>
  <w:style w:type="character" w:styleId="Hyperlink">
    <w:name w:val="Hyperlink"/>
    <w:basedOn w:val="DefaultParagraphFont"/>
    <w:uiPriority w:val="99"/>
    <w:unhideWhenUsed/>
    <w:rsid w:val="00AC6BA5"/>
    <w:rPr>
      <w:color w:val="0563C1" w:themeColor="hyperlink"/>
      <w:u w:val="single"/>
    </w:rPr>
  </w:style>
  <w:style w:type="paragraph" w:styleId="Header">
    <w:name w:val="header"/>
    <w:basedOn w:val="Normal"/>
    <w:link w:val="HeaderChar"/>
    <w:uiPriority w:val="99"/>
    <w:unhideWhenUsed/>
    <w:rsid w:val="00AC77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71A"/>
  </w:style>
  <w:style w:type="paragraph" w:styleId="Footer">
    <w:name w:val="footer"/>
    <w:basedOn w:val="Normal"/>
    <w:link w:val="FooterChar"/>
    <w:uiPriority w:val="99"/>
    <w:unhideWhenUsed/>
    <w:rsid w:val="00AC77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7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ynewcompany.com/entity.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hetaxadviser.com/issues/2014/jan/nittijan201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F8782-B3B3-411E-9E10-D68FC6BEC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12</Pages>
  <Words>3023</Words>
  <Characters>17237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dc:creator>
  <cp:keywords/>
  <dc:description/>
  <cp:lastModifiedBy>Hassan</cp:lastModifiedBy>
  <cp:revision>17</cp:revision>
  <dcterms:created xsi:type="dcterms:W3CDTF">2021-11-07T09:10:00Z</dcterms:created>
  <dcterms:modified xsi:type="dcterms:W3CDTF">2021-11-07T10:32:00Z</dcterms:modified>
</cp:coreProperties>
</file>