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EDF9E5" w14:textId="77777777" w:rsidR="0009017A" w:rsidRPr="00F14E3F" w:rsidRDefault="0009017A" w:rsidP="0009017A">
      <w:pPr>
        <w:spacing w:line="480" w:lineRule="auto"/>
        <w:rPr>
          <w:rFonts w:ascii="Times New Roman" w:hAnsi="Times New Roman" w:cs="Times New Roman"/>
          <w:sz w:val="24"/>
          <w:szCs w:val="24"/>
        </w:rPr>
      </w:pPr>
      <w:bookmarkStart w:id="0" w:name="_Hlk6949240"/>
      <w:r w:rsidRPr="00F14E3F">
        <w:rPr>
          <w:rFonts w:ascii="Times New Roman" w:hAnsi="Times New Roman" w:cs="Times New Roman"/>
          <w:sz w:val="24"/>
          <w:szCs w:val="24"/>
        </w:rPr>
        <w:t>Jay Scroggins</w:t>
      </w:r>
    </w:p>
    <w:p w14:paraId="2398AA5F" w14:textId="50211B51" w:rsidR="0009017A" w:rsidRPr="00F14E3F" w:rsidRDefault="0009017A" w:rsidP="0009017A">
      <w:pPr>
        <w:spacing w:line="480" w:lineRule="auto"/>
        <w:rPr>
          <w:rFonts w:ascii="Times New Roman" w:hAnsi="Times New Roman" w:cs="Times New Roman"/>
          <w:sz w:val="24"/>
          <w:szCs w:val="24"/>
        </w:rPr>
      </w:pPr>
      <w:r w:rsidRPr="00F14E3F">
        <w:rPr>
          <w:rFonts w:ascii="Times New Roman" w:hAnsi="Times New Roman" w:cs="Times New Roman"/>
          <w:sz w:val="24"/>
          <w:szCs w:val="24"/>
        </w:rPr>
        <w:t xml:space="preserve">Professor </w:t>
      </w:r>
      <w:proofErr w:type="spellStart"/>
      <w:r w:rsidRPr="00F14E3F">
        <w:rPr>
          <w:rFonts w:ascii="Times New Roman" w:hAnsi="Times New Roman" w:cs="Times New Roman"/>
          <w:sz w:val="24"/>
          <w:szCs w:val="24"/>
        </w:rPr>
        <w:t>Trevi</w:t>
      </w:r>
      <w:r w:rsidR="00F538D2">
        <w:rPr>
          <w:rFonts w:ascii="Times New Roman" w:hAnsi="Times New Roman" w:cs="Times New Roman"/>
          <w:sz w:val="24"/>
          <w:szCs w:val="24"/>
        </w:rPr>
        <w:t>t</w:t>
      </w:r>
      <w:r w:rsidRPr="00F14E3F">
        <w:rPr>
          <w:rFonts w:ascii="Times New Roman" w:hAnsi="Times New Roman" w:cs="Times New Roman"/>
          <w:sz w:val="24"/>
          <w:szCs w:val="24"/>
        </w:rPr>
        <w:t>te</w:t>
      </w:r>
      <w:proofErr w:type="spellEnd"/>
    </w:p>
    <w:p w14:paraId="32CCD2CF" w14:textId="77777777" w:rsidR="0009017A" w:rsidRPr="00F14E3F" w:rsidRDefault="0009017A" w:rsidP="0009017A">
      <w:pPr>
        <w:spacing w:line="480" w:lineRule="auto"/>
        <w:rPr>
          <w:rFonts w:ascii="Times New Roman" w:hAnsi="Times New Roman" w:cs="Times New Roman"/>
          <w:sz w:val="24"/>
          <w:szCs w:val="24"/>
        </w:rPr>
      </w:pPr>
      <w:r w:rsidRPr="00F14E3F">
        <w:rPr>
          <w:rFonts w:ascii="Times New Roman" w:hAnsi="Times New Roman" w:cs="Times New Roman"/>
          <w:sz w:val="24"/>
          <w:szCs w:val="24"/>
        </w:rPr>
        <w:t>English 336</w:t>
      </w:r>
    </w:p>
    <w:p w14:paraId="76C00FEF" w14:textId="77777777" w:rsidR="0009017A" w:rsidRDefault="0009017A" w:rsidP="0009017A">
      <w:pPr>
        <w:spacing w:line="480" w:lineRule="auto"/>
        <w:rPr>
          <w:rFonts w:ascii="Times New Roman" w:hAnsi="Times New Roman" w:cs="Times New Roman"/>
          <w:sz w:val="24"/>
          <w:szCs w:val="24"/>
        </w:rPr>
      </w:pPr>
      <w:r w:rsidRPr="00F14E3F">
        <w:rPr>
          <w:rFonts w:ascii="Times New Roman" w:hAnsi="Times New Roman" w:cs="Times New Roman"/>
          <w:sz w:val="24"/>
          <w:szCs w:val="24"/>
        </w:rPr>
        <w:t>24 April 2019</w:t>
      </w:r>
    </w:p>
    <w:p w14:paraId="413041A1" w14:textId="77777777" w:rsidR="0009017A" w:rsidRDefault="0009017A" w:rsidP="0009017A">
      <w:pPr>
        <w:spacing w:line="480" w:lineRule="auto"/>
        <w:jc w:val="center"/>
        <w:rPr>
          <w:rFonts w:ascii="Times New Roman" w:hAnsi="Times New Roman" w:cs="Times New Roman"/>
          <w:sz w:val="24"/>
          <w:szCs w:val="24"/>
        </w:rPr>
      </w:pPr>
      <w:r>
        <w:rPr>
          <w:rFonts w:ascii="Times New Roman" w:hAnsi="Times New Roman" w:cs="Times New Roman"/>
          <w:sz w:val="24"/>
          <w:szCs w:val="24"/>
        </w:rPr>
        <w:t>Annotated Bibliography</w:t>
      </w:r>
    </w:p>
    <w:bookmarkEnd w:id="0"/>
    <w:p w14:paraId="653D9214" w14:textId="406824AF" w:rsidR="00835B9F" w:rsidRDefault="00835B9F" w:rsidP="00F538D2">
      <w:pPr>
        <w:spacing w:line="480" w:lineRule="auto"/>
        <w:ind w:left="720" w:hanging="720"/>
        <w:rPr>
          <w:rStyle w:val="Hyperlink"/>
          <w:rFonts w:ascii="Times New Roman" w:hAnsi="Times New Roman" w:cs="Times New Roman"/>
          <w:sz w:val="24"/>
          <w:szCs w:val="24"/>
        </w:rPr>
      </w:pPr>
      <w:r>
        <w:rPr>
          <w:rFonts w:ascii="Times New Roman" w:hAnsi="Times New Roman" w:cs="Times New Roman"/>
          <w:i/>
          <w:sz w:val="24"/>
          <w:szCs w:val="24"/>
        </w:rPr>
        <w:t>The Good Soldier</w:t>
      </w:r>
      <w:r w:rsidRPr="00835B9F">
        <w:rPr>
          <w:rFonts w:ascii="Times New Roman" w:hAnsi="Times New Roman" w:cs="Times New Roman"/>
          <w:sz w:val="24"/>
          <w:szCs w:val="24"/>
          <w:u w:val="single"/>
        </w:rPr>
        <w:t xml:space="preserve"> Novels for Students</w:t>
      </w:r>
      <w:proofErr w:type="gramStart"/>
      <w:r w:rsidRPr="00835B9F">
        <w:rPr>
          <w:rFonts w:ascii="Times New Roman" w:hAnsi="Times New Roman" w:cs="Times New Roman"/>
          <w:sz w:val="24"/>
          <w:szCs w:val="24"/>
        </w:rPr>
        <w:t>. .</w:t>
      </w:r>
      <w:proofErr w:type="gramEnd"/>
      <w:r w:rsidRPr="00835B9F">
        <w:rPr>
          <w:rFonts w:ascii="Times New Roman" w:hAnsi="Times New Roman" w:cs="Times New Roman"/>
          <w:sz w:val="24"/>
          <w:szCs w:val="24"/>
        </w:rPr>
        <w:t xml:space="preserve"> Retrieved April 17, 2019 from Encyclopedia.com: </w:t>
      </w:r>
      <w:hyperlink r:id="rId4" w:history="1">
        <w:r w:rsidRPr="00835B9F">
          <w:rPr>
            <w:rStyle w:val="Hyperlink"/>
            <w:rFonts w:ascii="Times New Roman" w:hAnsi="Times New Roman" w:cs="Times New Roman"/>
            <w:sz w:val="24"/>
            <w:szCs w:val="24"/>
          </w:rPr>
          <w:t>https://www.encyclopedia.com/arts/educational-magazines/good-soldier</w:t>
        </w:r>
      </w:hyperlink>
    </w:p>
    <w:p w14:paraId="76542038" w14:textId="77777777" w:rsidR="00F538D2" w:rsidRDefault="00F538D2" w:rsidP="00F538D2">
      <w:pPr>
        <w:spacing w:line="480" w:lineRule="auto"/>
        <w:ind w:left="720" w:hanging="720"/>
        <w:rPr>
          <w:rFonts w:ascii="Times New Roman" w:hAnsi="Times New Roman" w:cs="Times New Roman"/>
          <w:sz w:val="24"/>
          <w:szCs w:val="24"/>
        </w:rPr>
      </w:pPr>
      <w:bookmarkStart w:id="1" w:name="_GoBack"/>
      <w:bookmarkEnd w:id="1"/>
    </w:p>
    <w:p w14:paraId="27CACD50" w14:textId="2ED4F30E" w:rsidR="00835B9F" w:rsidRDefault="006F693E" w:rsidP="0009017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author starts off the critical review by </w:t>
      </w:r>
      <w:r w:rsidR="007F0B6D">
        <w:rPr>
          <w:rFonts w:ascii="Times New Roman" w:hAnsi="Times New Roman" w:cs="Times New Roman"/>
          <w:sz w:val="24"/>
          <w:szCs w:val="24"/>
        </w:rPr>
        <w:t xml:space="preserve">talking a little about Ford </w:t>
      </w:r>
      <w:proofErr w:type="spellStart"/>
      <w:r w:rsidR="007F0B6D">
        <w:rPr>
          <w:rFonts w:ascii="Times New Roman" w:hAnsi="Times New Roman" w:cs="Times New Roman"/>
          <w:sz w:val="24"/>
          <w:szCs w:val="24"/>
        </w:rPr>
        <w:t>Madox</w:t>
      </w:r>
      <w:proofErr w:type="spellEnd"/>
      <w:r w:rsidR="007F0B6D">
        <w:rPr>
          <w:rFonts w:ascii="Times New Roman" w:hAnsi="Times New Roman" w:cs="Times New Roman"/>
          <w:sz w:val="24"/>
          <w:szCs w:val="24"/>
        </w:rPr>
        <w:t xml:space="preserve"> Ford and says this about the novel, “</w:t>
      </w:r>
      <w:r w:rsidR="007F0B6D" w:rsidRPr="007F0B6D">
        <w:rPr>
          <w:rFonts w:ascii="Times New Roman" w:hAnsi="Times New Roman" w:cs="Times New Roman"/>
          <w:i/>
          <w:iCs/>
          <w:sz w:val="24"/>
          <w:szCs w:val="24"/>
        </w:rPr>
        <w:t>The Good Soldier</w:t>
      </w:r>
      <w:r w:rsidR="007F0B6D" w:rsidRPr="007F0B6D">
        <w:rPr>
          <w:rFonts w:ascii="Times New Roman" w:hAnsi="Times New Roman" w:cs="Times New Roman"/>
          <w:sz w:val="24"/>
          <w:szCs w:val="24"/>
        </w:rPr>
        <w:t> is generally considered to be Ford's best work, as well as one of the best novels of the twentieth century. At the time of its publication in 1915, though, there were some critics who disliked aspects of the novel. Some reviewers found the structure too confusing, while others objected on moral grounds, feeling that it promoted promiscuity.</w:t>
      </w:r>
      <w:r w:rsidR="007F0B6D">
        <w:rPr>
          <w:rFonts w:ascii="Times New Roman" w:hAnsi="Times New Roman" w:cs="Times New Roman"/>
          <w:sz w:val="24"/>
          <w:szCs w:val="24"/>
        </w:rPr>
        <w:t xml:space="preserve">” </w:t>
      </w:r>
      <w:r w:rsidR="00811DB0">
        <w:rPr>
          <w:rFonts w:ascii="Times New Roman" w:hAnsi="Times New Roman" w:cs="Times New Roman"/>
          <w:sz w:val="24"/>
          <w:szCs w:val="24"/>
        </w:rPr>
        <w:t>The power of this book is something that critics and readers alike often talk about as well. In fact, the author quotes critic A.S. Byatt when references the power in saying “</w:t>
      </w:r>
      <w:r w:rsidR="00811DB0" w:rsidRPr="00811DB0">
        <w:rPr>
          <w:rFonts w:ascii="Times New Roman" w:hAnsi="Times New Roman" w:cs="Times New Roman"/>
          <w:sz w:val="24"/>
          <w:szCs w:val="24"/>
        </w:rPr>
        <w:t>combination of the precisely, evocatively lyrical, or vivid, with the flat tone of normality … is one of the glories of the book. The others are the manipulation of the time-shift, and the difference between revelation by dialogue and terrible act.”.</w:t>
      </w:r>
      <w:r w:rsidR="007F0B6D">
        <w:rPr>
          <w:rFonts w:ascii="Times New Roman" w:hAnsi="Times New Roman" w:cs="Times New Roman"/>
          <w:sz w:val="24"/>
          <w:szCs w:val="24"/>
        </w:rPr>
        <w:t xml:space="preserve"> </w:t>
      </w:r>
      <w:r w:rsidR="00835B9F">
        <w:rPr>
          <w:rFonts w:ascii="Times New Roman" w:hAnsi="Times New Roman" w:cs="Times New Roman"/>
          <w:sz w:val="24"/>
          <w:szCs w:val="24"/>
        </w:rPr>
        <w:t>The</w:t>
      </w:r>
      <w:r w:rsidR="007F0B6D">
        <w:rPr>
          <w:rFonts w:ascii="Times New Roman" w:hAnsi="Times New Roman" w:cs="Times New Roman"/>
          <w:sz w:val="24"/>
          <w:szCs w:val="24"/>
        </w:rPr>
        <w:t>n</w:t>
      </w:r>
      <w:r w:rsidR="00835B9F">
        <w:rPr>
          <w:rFonts w:ascii="Times New Roman" w:hAnsi="Times New Roman" w:cs="Times New Roman"/>
          <w:sz w:val="24"/>
          <w:szCs w:val="24"/>
        </w:rPr>
        <w:t xml:space="preserve"> </w:t>
      </w:r>
      <w:r w:rsidR="007F0B6D">
        <w:rPr>
          <w:rFonts w:ascii="Times New Roman" w:hAnsi="Times New Roman" w:cs="Times New Roman"/>
          <w:sz w:val="24"/>
          <w:szCs w:val="24"/>
        </w:rPr>
        <w:t>continues to</w:t>
      </w:r>
      <w:r>
        <w:rPr>
          <w:rFonts w:ascii="Times New Roman" w:hAnsi="Times New Roman" w:cs="Times New Roman"/>
          <w:sz w:val="24"/>
          <w:szCs w:val="24"/>
        </w:rPr>
        <w:t xml:space="preserve"> go into the</w:t>
      </w:r>
      <w:r w:rsidR="00835B9F">
        <w:rPr>
          <w:rFonts w:ascii="Times New Roman" w:hAnsi="Times New Roman" w:cs="Times New Roman"/>
          <w:sz w:val="24"/>
          <w:szCs w:val="24"/>
        </w:rPr>
        <w:t xml:space="preserve"> plot summary</w:t>
      </w:r>
      <w:r w:rsidR="006839AB">
        <w:rPr>
          <w:rFonts w:ascii="Times New Roman" w:hAnsi="Times New Roman" w:cs="Times New Roman"/>
          <w:sz w:val="24"/>
          <w:szCs w:val="24"/>
        </w:rPr>
        <w:t xml:space="preserve"> by informing you that</w:t>
      </w:r>
      <w:r w:rsidR="00835B9F">
        <w:rPr>
          <w:rFonts w:ascii="Times New Roman" w:hAnsi="Times New Roman" w:cs="Times New Roman"/>
          <w:sz w:val="24"/>
          <w:szCs w:val="24"/>
        </w:rPr>
        <w:t xml:space="preserve"> </w:t>
      </w:r>
      <w:r w:rsidR="006839AB">
        <w:rPr>
          <w:rFonts w:ascii="Times New Roman" w:hAnsi="Times New Roman" w:cs="Times New Roman"/>
          <w:sz w:val="24"/>
          <w:szCs w:val="24"/>
        </w:rPr>
        <w:t xml:space="preserve">the narrator, John Dowell and his wife Florence had known Captain and Mrs. Ashburnham for nine years. The author says that they would meet at a German resort town named Bad Nauheim </w:t>
      </w:r>
      <w:r w:rsidR="006839AB">
        <w:rPr>
          <w:rFonts w:ascii="Times New Roman" w:hAnsi="Times New Roman" w:cs="Times New Roman"/>
          <w:sz w:val="24"/>
          <w:szCs w:val="24"/>
        </w:rPr>
        <w:lastRenderedPageBreak/>
        <w:t xml:space="preserve">and that they were </w:t>
      </w:r>
      <w:r>
        <w:rPr>
          <w:rFonts w:ascii="Times New Roman" w:hAnsi="Times New Roman" w:cs="Times New Roman"/>
          <w:sz w:val="24"/>
          <w:szCs w:val="24"/>
        </w:rPr>
        <w:t>well-off</w:t>
      </w:r>
      <w:r w:rsidR="006839AB">
        <w:rPr>
          <w:rFonts w:ascii="Times New Roman" w:hAnsi="Times New Roman" w:cs="Times New Roman"/>
          <w:sz w:val="24"/>
          <w:szCs w:val="24"/>
        </w:rPr>
        <w:t xml:space="preserve"> couples. </w:t>
      </w:r>
      <w:r>
        <w:rPr>
          <w:rFonts w:ascii="Times New Roman" w:hAnsi="Times New Roman" w:cs="Times New Roman"/>
          <w:sz w:val="24"/>
          <w:szCs w:val="24"/>
        </w:rPr>
        <w:t xml:space="preserve">These are the main characters in this novel that much </w:t>
      </w:r>
      <w:r w:rsidR="007F0B6D">
        <w:rPr>
          <w:rFonts w:ascii="Times New Roman" w:hAnsi="Times New Roman" w:cs="Times New Roman"/>
          <w:sz w:val="24"/>
          <w:szCs w:val="24"/>
        </w:rPr>
        <w:t xml:space="preserve">has to do with. </w:t>
      </w:r>
      <w:r w:rsidR="00811DB0">
        <w:rPr>
          <w:rFonts w:ascii="Times New Roman" w:hAnsi="Times New Roman" w:cs="Times New Roman"/>
          <w:sz w:val="24"/>
          <w:szCs w:val="24"/>
        </w:rPr>
        <w:t>But the main premise of this review is the power and classic nature of this novel that has people talking about it, and people like me doing annotated bibliographies on.</w:t>
      </w:r>
    </w:p>
    <w:p w14:paraId="59B8B1F5" w14:textId="70D98E86" w:rsidR="006C34BD" w:rsidRDefault="00A5157E" w:rsidP="0009017A">
      <w:pPr>
        <w:spacing w:line="480" w:lineRule="auto"/>
        <w:rPr>
          <w:rFonts w:ascii="Times New Roman" w:hAnsi="Times New Roman" w:cs="Times New Roman"/>
          <w:sz w:val="24"/>
          <w:szCs w:val="24"/>
        </w:rPr>
      </w:pPr>
      <w:r>
        <w:rPr>
          <w:rFonts w:ascii="Times New Roman" w:hAnsi="Times New Roman" w:cs="Times New Roman"/>
          <w:sz w:val="24"/>
          <w:szCs w:val="24"/>
        </w:rPr>
        <w:br/>
      </w:r>
    </w:p>
    <w:p w14:paraId="4258E29C" w14:textId="77777777" w:rsidR="00A5157E" w:rsidRPr="0009017A" w:rsidRDefault="00A5157E" w:rsidP="0009017A">
      <w:pPr>
        <w:spacing w:line="480" w:lineRule="auto"/>
        <w:rPr>
          <w:rFonts w:ascii="Times New Roman" w:hAnsi="Times New Roman" w:cs="Times New Roman"/>
          <w:sz w:val="24"/>
          <w:szCs w:val="24"/>
        </w:rPr>
      </w:pPr>
    </w:p>
    <w:sectPr w:rsidR="00A5157E" w:rsidRPr="000901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17A"/>
    <w:rsid w:val="0009017A"/>
    <w:rsid w:val="006839AB"/>
    <w:rsid w:val="006C34BD"/>
    <w:rsid w:val="006F693E"/>
    <w:rsid w:val="007F0B6D"/>
    <w:rsid w:val="00811DB0"/>
    <w:rsid w:val="00835B9F"/>
    <w:rsid w:val="00A5157E"/>
    <w:rsid w:val="00C41FB1"/>
    <w:rsid w:val="00F53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45249"/>
  <w15:chartTrackingRefBased/>
  <w15:docId w15:val="{9CE08D80-345B-4118-B4BE-B4B88B3D1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157E"/>
    <w:rPr>
      <w:color w:val="0563C1" w:themeColor="hyperlink"/>
      <w:u w:val="single"/>
    </w:rPr>
  </w:style>
  <w:style w:type="character" w:styleId="UnresolvedMention">
    <w:name w:val="Unresolved Mention"/>
    <w:basedOn w:val="DefaultParagraphFont"/>
    <w:uiPriority w:val="99"/>
    <w:semiHidden/>
    <w:unhideWhenUsed/>
    <w:rsid w:val="00A51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ncyclopedia.com/arts/educational-magazines/good-soldi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261</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skins</dc:creator>
  <cp:keywords/>
  <dc:description/>
  <cp:lastModifiedBy> </cp:lastModifiedBy>
  <cp:revision>2</cp:revision>
  <dcterms:created xsi:type="dcterms:W3CDTF">2019-04-25T03:25:00Z</dcterms:created>
  <dcterms:modified xsi:type="dcterms:W3CDTF">2019-04-25T03:25:00Z</dcterms:modified>
</cp:coreProperties>
</file>