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5C47F" w14:textId="77777777" w:rsidR="00ED3FDE" w:rsidRDefault="00ED3FDE" w:rsidP="00A17A53">
      <w:pPr>
        <w:spacing w:line="480" w:lineRule="auto"/>
        <w:ind w:firstLine="720"/>
        <w:contextualSpacing/>
        <w:rPr>
          <w:rFonts w:ascii="Times New Roman" w:hAnsi="Times New Roman" w:cs="Times New Roman"/>
          <w:sz w:val="24"/>
          <w:szCs w:val="24"/>
        </w:rPr>
      </w:pPr>
      <w:bookmarkStart w:id="0" w:name="_GoBack"/>
      <w:bookmarkEnd w:id="0"/>
    </w:p>
    <w:p w14:paraId="31ABD775" w14:textId="77777777" w:rsidR="00ED3FDE" w:rsidRDefault="00ED3FDE" w:rsidP="00ED3FDE">
      <w:pPr>
        <w:jc w:val="center"/>
        <w:rPr>
          <w:rFonts w:ascii="Times New Roman" w:hAnsi="Times New Roman" w:cs="Times New Roman"/>
          <w:sz w:val="24"/>
          <w:szCs w:val="24"/>
        </w:rPr>
      </w:pPr>
    </w:p>
    <w:p w14:paraId="3BC14863" w14:textId="77777777" w:rsidR="00ED3FDE" w:rsidRDefault="00ED3FDE" w:rsidP="00ED3FDE">
      <w:pPr>
        <w:jc w:val="center"/>
        <w:rPr>
          <w:rFonts w:ascii="Times New Roman" w:hAnsi="Times New Roman" w:cs="Times New Roman"/>
          <w:sz w:val="24"/>
          <w:szCs w:val="24"/>
        </w:rPr>
      </w:pPr>
    </w:p>
    <w:p w14:paraId="635D5FAE" w14:textId="77777777" w:rsidR="00ED3FDE" w:rsidRDefault="00ED3FDE" w:rsidP="00ED3FDE">
      <w:pPr>
        <w:jc w:val="center"/>
        <w:rPr>
          <w:rFonts w:ascii="Times New Roman" w:hAnsi="Times New Roman" w:cs="Times New Roman"/>
          <w:sz w:val="24"/>
          <w:szCs w:val="24"/>
        </w:rPr>
      </w:pPr>
    </w:p>
    <w:p w14:paraId="181D8E75" w14:textId="77777777" w:rsidR="00ED3FDE" w:rsidRDefault="00ED3FDE" w:rsidP="00ED3FDE">
      <w:pPr>
        <w:jc w:val="center"/>
        <w:rPr>
          <w:rFonts w:ascii="Times New Roman" w:hAnsi="Times New Roman" w:cs="Times New Roman"/>
          <w:sz w:val="24"/>
          <w:szCs w:val="24"/>
        </w:rPr>
      </w:pPr>
    </w:p>
    <w:p w14:paraId="29418A96" w14:textId="77777777" w:rsidR="00ED3FDE" w:rsidRDefault="00ED3FDE" w:rsidP="00ED3FDE">
      <w:pPr>
        <w:jc w:val="center"/>
        <w:rPr>
          <w:rFonts w:ascii="Times New Roman" w:hAnsi="Times New Roman" w:cs="Times New Roman"/>
          <w:sz w:val="24"/>
          <w:szCs w:val="24"/>
        </w:rPr>
      </w:pPr>
    </w:p>
    <w:p w14:paraId="6D57CAC1" w14:textId="77777777" w:rsidR="00ED3FDE" w:rsidRDefault="00ED3FDE" w:rsidP="00ED3FDE">
      <w:pPr>
        <w:jc w:val="center"/>
        <w:rPr>
          <w:rFonts w:ascii="Times New Roman" w:hAnsi="Times New Roman" w:cs="Times New Roman"/>
          <w:sz w:val="24"/>
          <w:szCs w:val="24"/>
        </w:rPr>
      </w:pPr>
    </w:p>
    <w:p w14:paraId="107441BC" w14:textId="77777777" w:rsidR="00ED3FDE" w:rsidRDefault="00ED3FDE" w:rsidP="00ED3FDE">
      <w:pPr>
        <w:jc w:val="center"/>
        <w:rPr>
          <w:rFonts w:ascii="Times New Roman" w:hAnsi="Times New Roman" w:cs="Times New Roman"/>
          <w:sz w:val="24"/>
          <w:szCs w:val="24"/>
        </w:rPr>
      </w:pPr>
    </w:p>
    <w:p w14:paraId="472837B3" w14:textId="77777777" w:rsidR="00ED3FDE" w:rsidRDefault="00ED3FDE" w:rsidP="00ED3FDE">
      <w:pPr>
        <w:jc w:val="center"/>
        <w:rPr>
          <w:rFonts w:ascii="Times New Roman" w:hAnsi="Times New Roman" w:cs="Times New Roman"/>
          <w:sz w:val="24"/>
          <w:szCs w:val="24"/>
        </w:rPr>
      </w:pPr>
    </w:p>
    <w:p w14:paraId="7290355D" w14:textId="77777777" w:rsidR="00ED3FDE" w:rsidRDefault="00ED3FDE" w:rsidP="00ED3FDE">
      <w:pPr>
        <w:jc w:val="center"/>
        <w:rPr>
          <w:rFonts w:ascii="Times New Roman" w:hAnsi="Times New Roman" w:cs="Times New Roman"/>
          <w:sz w:val="24"/>
          <w:szCs w:val="24"/>
        </w:rPr>
      </w:pPr>
    </w:p>
    <w:p w14:paraId="0A1F9C8F" w14:textId="31FDAC3E" w:rsidR="00ED3FDE" w:rsidRPr="00ED3FDE" w:rsidRDefault="00ED3FDE" w:rsidP="00ED3FDE">
      <w:pPr>
        <w:jc w:val="center"/>
        <w:rPr>
          <w:rFonts w:ascii="Times New Roman" w:hAnsi="Times New Roman" w:cs="Times New Roman"/>
          <w:sz w:val="24"/>
          <w:szCs w:val="24"/>
        </w:rPr>
      </w:pPr>
      <w:r>
        <w:rPr>
          <w:rFonts w:ascii="Times New Roman" w:hAnsi="Times New Roman" w:cs="Times New Roman"/>
          <w:sz w:val="24"/>
          <w:szCs w:val="24"/>
        </w:rPr>
        <w:t xml:space="preserve">Insurance Policy </w:t>
      </w:r>
    </w:p>
    <w:p w14:paraId="79C5DBCF" w14:textId="77777777" w:rsidR="00ED3FDE" w:rsidRPr="00ED3FDE" w:rsidRDefault="00ED3FDE" w:rsidP="00ED3FDE">
      <w:pPr>
        <w:jc w:val="center"/>
        <w:rPr>
          <w:rFonts w:ascii="Times New Roman" w:hAnsi="Times New Roman" w:cs="Times New Roman"/>
          <w:sz w:val="24"/>
          <w:szCs w:val="24"/>
        </w:rPr>
      </w:pPr>
      <w:r w:rsidRPr="00ED3FDE">
        <w:rPr>
          <w:rFonts w:ascii="Times New Roman" w:hAnsi="Times New Roman" w:cs="Times New Roman"/>
          <w:sz w:val="24"/>
          <w:szCs w:val="24"/>
        </w:rPr>
        <w:t>Name of Student</w:t>
      </w:r>
    </w:p>
    <w:p w14:paraId="227B2ACA" w14:textId="368E8771" w:rsidR="00ED3FDE" w:rsidRDefault="00ED3FDE" w:rsidP="00ED3FDE">
      <w:pPr>
        <w:jc w:val="center"/>
        <w:rPr>
          <w:rFonts w:ascii="Times New Roman" w:hAnsi="Times New Roman" w:cs="Times New Roman"/>
          <w:sz w:val="24"/>
          <w:szCs w:val="24"/>
        </w:rPr>
      </w:pPr>
      <w:r w:rsidRPr="00ED3FDE">
        <w:rPr>
          <w:rFonts w:ascii="Times New Roman" w:hAnsi="Times New Roman" w:cs="Times New Roman"/>
          <w:sz w:val="24"/>
          <w:szCs w:val="24"/>
        </w:rPr>
        <w:t>Institutional Affiliation</w:t>
      </w:r>
      <w:r>
        <w:rPr>
          <w:rFonts w:ascii="Times New Roman" w:hAnsi="Times New Roman" w:cs="Times New Roman"/>
          <w:sz w:val="24"/>
          <w:szCs w:val="24"/>
        </w:rPr>
        <w:br w:type="page"/>
      </w:r>
    </w:p>
    <w:p w14:paraId="2F0CB1D7" w14:textId="5140153A" w:rsidR="00A17A53" w:rsidRPr="00A17A53" w:rsidRDefault="00303128"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lastRenderedPageBreak/>
        <w:t xml:space="preserve"> </w:t>
      </w:r>
      <w:r w:rsidR="00A17A53" w:rsidRPr="00A17A53">
        <w:rPr>
          <w:rFonts w:ascii="Times New Roman" w:hAnsi="Times New Roman" w:cs="Times New Roman"/>
          <w:sz w:val="24"/>
          <w:szCs w:val="24"/>
        </w:rPr>
        <w:t>1. Briefly summarize the relevant facts of the case relating to insurance planning.</w:t>
      </w:r>
    </w:p>
    <w:p w14:paraId="150F4C11"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The relevant fact in this case study is that John Butterfield and his wife Haley Butterfield have followed the principle of utmost good faith in the representation of their financial data to the insurer. The couple has provided the insurer with clear and concise information regarding the terms they want to include in their contract. John and Harley have 18 and 23 years to work before retiring. They plan to cater for half the college fee of their children and part of the college fee not covered by the scholarship for their oldest son under any circumstance. They want to maintain their current living standards during retirement or in the event of the death of a spouse. The couple does not want to reduce their expenditure; rather, they want to protect the income and assets from passing something to their children.</w:t>
      </w:r>
    </w:p>
    <w:p w14:paraId="06E5DC2E"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2. If the Butterfields were going to purchase additional life insurance, what type of policy, what face value, and what riders would be most appropriate given their age and need?</w:t>
      </w:r>
    </w:p>
    <w:p w14:paraId="3B3C866F" w14:textId="707464E8"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The best policy for the Butterfields is one that helps them to achieve their desired goal. The best plan would have to cater for 50% of the college fees of their children. Therefore, the Butterfields should take on universal life insurance that covers their children until they finish college. That was the ultimate goal of taking an insurance cover by the Butterfields. Both John and Harley want to ensure that their children are left behind with some of their assets in the event of their death. Also, they have planned that in the event of a spouse's premature death, the other can continue with their life without much changes in living standards</w:t>
      </w:r>
      <w:r w:rsidR="00ED3FDE">
        <w:rPr>
          <w:rFonts w:ascii="Times New Roman" w:hAnsi="Times New Roman" w:cs="Times New Roman"/>
          <w:sz w:val="24"/>
          <w:szCs w:val="24"/>
        </w:rPr>
        <w:t xml:space="preserve"> (</w:t>
      </w:r>
      <w:proofErr w:type="spellStart"/>
      <w:r w:rsidR="00ED3FDE" w:rsidRPr="00ED3FDE">
        <w:rPr>
          <w:rFonts w:ascii="Times New Roman" w:hAnsi="Times New Roman" w:cs="Times New Roman"/>
          <w:sz w:val="24"/>
          <w:szCs w:val="24"/>
        </w:rPr>
        <w:t>Uberoi</w:t>
      </w:r>
      <w:proofErr w:type="spellEnd"/>
      <w:r w:rsidR="00ED3FDE" w:rsidRPr="00ED3FDE">
        <w:rPr>
          <w:rFonts w:ascii="Times New Roman" w:hAnsi="Times New Roman" w:cs="Times New Roman"/>
          <w:sz w:val="24"/>
          <w:szCs w:val="24"/>
        </w:rPr>
        <w:t xml:space="preserve">, </w:t>
      </w:r>
      <w:proofErr w:type="spellStart"/>
      <w:r w:rsidR="00ED3FDE" w:rsidRPr="00ED3FDE">
        <w:rPr>
          <w:rFonts w:ascii="Times New Roman" w:hAnsi="Times New Roman" w:cs="Times New Roman"/>
          <w:sz w:val="24"/>
          <w:szCs w:val="24"/>
        </w:rPr>
        <w:t>Finegold</w:t>
      </w:r>
      <w:proofErr w:type="spellEnd"/>
      <w:r w:rsidR="00ED3FDE" w:rsidRPr="00ED3FDE">
        <w:rPr>
          <w:rFonts w:ascii="Times New Roman" w:hAnsi="Times New Roman" w:cs="Times New Roman"/>
          <w:sz w:val="24"/>
          <w:szCs w:val="24"/>
        </w:rPr>
        <w:t xml:space="preserve"> &amp; Gee, 2016)</w:t>
      </w:r>
      <w:r w:rsidRPr="00A17A53">
        <w:rPr>
          <w:rFonts w:ascii="Times New Roman" w:hAnsi="Times New Roman" w:cs="Times New Roman"/>
          <w:sz w:val="24"/>
          <w:szCs w:val="24"/>
        </w:rPr>
        <w:t>. Considering age, expense, and living standards, the couple should include a term conversion raider to cater to their older daughter's college fees.</w:t>
      </w:r>
    </w:p>
    <w:p w14:paraId="1BFE333B"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3. Explain the advantages and disadvantages of having John purchase additional life insurance through his employer.</w:t>
      </w:r>
    </w:p>
    <w:p w14:paraId="02002F49" w14:textId="1071EFDF"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lastRenderedPageBreak/>
        <w:t xml:space="preserve">Purchasing additional life insurance through the employer is advantageous to John because it provides increased coverage for him and his family. If any of his family members get ill, then John will have more than one option to cater for their illness. In some cases, more </w:t>
      </w:r>
      <w:r w:rsidR="00ED3FDE" w:rsidRPr="00A17A53">
        <w:rPr>
          <w:rFonts w:ascii="Times New Roman" w:hAnsi="Times New Roman" w:cs="Times New Roman"/>
          <w:sz w:val="24"/>
          <w:szCs w:val="24"/>
        </w:rPr>
        <w:t>than</w:t>
      </w:r>
      <w:r w:rsidRPr="00A17A53">
        <w:rPr>
          <w:rFonts w:ascii="Times New Roman" w:hAnsi="Times New Roman" w:cs="Times New Roman"/>
          <w:sz w:val="24"/>
          <w:szCs w:val="24"/>
        </w:rPr>
        <w:t xml:space="preserve"> one family member gets ill simultaneously. In such a scenario, John will not be worried about hospital bills because of increased coverage by the employer and the insurance company</w:t>
      </w:r>
      <w:r w:rsidR="00ED3FDE">
        <w:rPr>
          <w:rFonts w:ascii="Times New Roman" w:hAnsi="Times New Roman" w:cs="Times New Roman"/>
          <w:sz w:val="24"/>
          <w:szCs w:val="24"/>
        </w:rPr>
        <w:t xml:space="preserve"> (</w:t>
      </w:r>
      <w:r w:rsidR="00ED3FDE" w:rsidRPr="00ED3FDE">
        <w:rPr>
          <w:rFonts w:ascii="Times New Roman" w:hAnsi="Times New Roman" w:cs="Times New Roman"/>
          <w:sz w:val="24"/>
          <w:szCs w:val="24"/>
        </w:rPr>
        <w:t>Sommers, Gawande &amp; Baicker, 2017)</w:t>
      </w:r>
      <w:r w:rsidRPr="00A17A53">
        <w:rPr>
          <w:rFonts w:ascii="Times New Roman" w:hAnsi="Times New Roman" w:cs="Times New Roman"/>
          <w:sz w:val="24"/>
          <w:szCs w:val="24"/>
        </w:rPr>
        <w:t>. Also, purchasing an additional life insurance plan through the employer can be used to cover areas that are not addressed by the primary life insurance offered by the insurance agency. The disadvantage is that John faces an increased deduction on his monthly salary. This is because the employer does not cover the whole insurance cost. Most employers contribute a given portion, and the rest is deducted from the employee's salary. The deductions by the employer and the premiums paid to the insurance agency might affect John's living standards.</w:t>
      </w:r>
    </w:p>
    <w:p w14:paraId="5C22B69F"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4. Describe the 80% co-insurance rule and report to the Butterfields how this rule affects their homeowner's coverage.</w:t>
      </w:r>
    </w:p>
    <w:p w14:paraId="3AC4C6F5" w14:textId="442D5731"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The 80% co-insurance rule states that the insurer will compensate the insured for the cost of damage on the property or a house provided that the insured has purchased insurance coverage equal to at least 80% of the house total replacement value</w:t>
      </w:r>
      <w:r w:rsidR="00ED3FDE">
        <w:rPr>
          <w:rFonts w:ascii="Times New Roman" w:hAnsi="Times New Roman" w:cs="Times New Roman"/>
          <w:sz w:val="24"/>
          <w:szCs w:val="24"/>
        </w:rPr>
        <w:t xml:space="preserve"> (</w:t>
      </w:r>
      <w:r w:rsidR="00ED3FDE" w:rsidRPr="00ED3FDE">
        <w:rPr>
          <w:rFonts w:ascii="Times New Roman" w:hAnsi="Times New Roman" w:cs="Times New Roman"/>
          <w:sz w:val="24"/>
          <w:szCs w:val="24"/>
        </w:rPr>
        <w:t>Shields, 2015)</w:t>
      </w:r>
      <w:r w:rsidRPr="00A17A53">
        <w:rPr>
          <w:rFonts w:ascii="Times New Roman" w:hAnsi="Times New Roman" w:cs="Times New Roman"/>
          <w:sz w:val="24"/>
          <w:szCs w:val="24"/>
        </w:rPr>
        <w:t>. If an insurer has coverage of less than 80%, the insurance company can compensate the insured with a proportionate amount of the required minimum coverage that should have been purchased. The 80% co-insurance rule affects the Butterfield's in that they have not yet purchased at least 80% of the mortgage. Therefore, in the event of property damage, the family will not be compensated with the full amount by the insurer.</w:t>
      </w:r>
    </w:p>
    <w:p w14:paraId="2A1183A4"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5. What actions can the Butterfields take to reduce their insurance premiums while maintaining adequate coverage in terms of liability and property coverage?</w:t>
      </w:r>
    </w:p>
    <w:p w14:paraId="7CF3EDDC"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lastRenderedPageBreak/>
        <w:t>The Butterfields can reduce their premium while maintaining adequate coverage by applying for higher deductions to be made on their salaries. This way, the amount of premium charged will decrease while ensuring that the family is adequately covered in terms of liability and property coverage. Also, the Butterfields can pay fewer premiums by determining and effective payment method. For instance, most insurers charge less for people paying annually compared to those paying monthly. Therefore, the Butterfields can opt for an annual premium mode of payment.</w:t>
      </w:r>
    </w:p>
    <w:p w14:paraId="34F91579"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6. Explain why the Butterfields should consider purchasing an excess liability insurance policy.</w:t>
      </w:r>
    </w:p>
    <w:p w14:paraId="52B982DF"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The Butterfields should consider purchasing an excess liability insurance policy in the event they are seeking legal action. Legal action can be taken for property damage, and the excess liability insurance premiums will cover the cost. For instance, Harley has been running her CPA business from home for the last 14 years. Her business might have a lawsuit filed, which results in legal expenses. The family might develop additional insurance need that requires coverage. The excess liability insurance policy provides an increase in the insurance coverage limits rather than taking a new insurance plan altogether.</w:t>
      </w:r>
    </w:p>
    <w:p w14:paraId="31DE7C87"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7. Describe the purpose of long-term care insurance and indicate if and when the Butterfields should consider purchasing it.</w:t>
      </w:r>
    </w:p>
    <w:p w14:paraId="3F5C26E0" w14:textId="0679F5CC"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Long-term care insurance is an insurance product that covers nursing home care, home health care, and personal or adult day care for people above the 65 who have chronic or other conditions that require frequent supervision</w:t>
      </w:r>
      <w:r w:rsidR="00ED3FDE">
        <w:rPr>
          <w:rFonts w:ascii="Times New Roman" w:hAnsi="Times New Roman" w:cs="Times New Roman"/>
          <w:sz w:val="24"/>
          <w:szCs w:val="24"/>
        </w:rPr>
        <w:t xml:space="preserve"> (</w:t>
      </w:r>
      <w:r w:rsidR="00ED3FDE" w:rsidRPr="00ED3FDE">
        <w:rPr>
          <w:rFonts w:ascii="Times New Roman" w:hAnsi="Times New Roman" w:cs="Times New Roman"/>
          <w:sz w:val="24"/>
          <w:szCs w:val="24"/>
        </w:rPr>
        <w:t>Baicker, Congdon, &amp; Mullainathan, 2012)</w:t>
      </w:r>
      <w:r w:rsidRPr="00A17A53">
        <w:rPr>
          <w:rFonts w:ascii="Times New Roman" w:hAnsi="Times New Roman" w:cs="Times New Roman"/>
          <w:sz w:val="24"/>
          <w:szCs w:val="24"/>
        </w:rPr>
        <w:t xml:space="preserve">. This insurance's purpose is to lower the cost of children in providing healthcare to parents in old age. During the old age, people require frequent supervision because of conditions which they have developed.  The Butterfields should consider purchasing this type of insurance when they have successfully managed to cater to their children's educational needs. If so, the </w:t>
      </w:r>
      <w:r w:rsidRPr="00A17A53">
        <w:rPr>
          <w:rFonts w:ascii="Times New Roman" w:hAnsi="Times New Roman" w:cs="Times New Roman"/>
          <w:sz w:val="24"/>
          <w:szCs w:val="24"/>
        </w:rPr>
        <w:lastRenderedPageBreak/>
        <w:t>Butterfields don't have to purchase this insurance since they have a pension plan. Money from this plan can be used to cater to specialized healthcare.</w:t>
      </w:r>
    </w:p>
    <w:p w14:paraId="4D4C456D" w14:textId="77777777" w:rsidR="00A17A53" w:rsidRPr="00A17A53"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8. Report on the advantages and disadvantages associated with the Butterfields' current health insurance policy.</w:t>
      </w:r>
    </w:p>
    <w:p w14:paraId="67BC1E4F" w14:textId="15A29F6B" w:rsidR="00ED3FDE" w:rsidRDefault="00A17A53" w:rsidP="00A17A53">
      <w:pPr>
        <w:spacing w:line="480" w:lineRule="auto"/>
        <w:ind w:firstLine="720"/>
        <w:contextualSpacing/>
        <w:rPr>
          <w:rFonts w:ascii="Times New Roman" w:hAnsi="Times New Roman" w:cs="Times New Roman"/>
          <w:sz w:val="24"/>
          <w:szCs w:val="24"/>
        </w:rPr>
      </w:pPr>
      <w:r w:rsidRPr="00A17A53">
        <w:rPr>
          <w:rFonts w:ascii="Times New Roman" w:hAnsi="Times New Roman" w:cs="Times New Roman"/>
          <w:sz w:val="24"/>
          <w:szCs w:val="24"/>
        </w:rPr>
        <w:t>The current health insurance policy adopted by the Butterfields cater to the primary healthcare of the spouse and their siblings. Also, the employer's largest amount is paid, with the family left with a small portion. The policy also covers disability, and it is a group insurance policy. The disadvantage is that the policy does not cover the disability of Harvey. In the event she gets disabled, the family would be forced to rely on the social security disability benefits to estimate disability income needs</w:t>
      </w:r>
      <w:r w:rsidR="00ED3FDE">
        <w:rPr>
          <w:rFonts w:ascii="Times New Roman" w:hAnsi="Times New Roman" w:cs="Times New Roman"/>
          <w:sz w:val="24"/>
          <w:szCs w:val="24"/>
        </w:rPr>
        <w:t xml:space="preserve"> (</w:t>
      </w:r>
      <w:r w:rsidR="00ED3FDE" w:rsidRPr="00ED3FDE">
        <w:rPr>
          <w:rFonts w:ascii="Times New Roman" w:hAnsi="Times New Roman" w:cs="Times New Roman"/>
          <w:sz w:val="24"/>
          <w:szCs w:val="24"/>
        </w:rPr>
        <w:t>Baicker, Congdon, &amp; Mullainathan, 2012)</w:t>
      </w:r>
      <w:r w:rsidRPr="00A17A53">
        <w:rPr>
          <w:rFonts w:ascii="Times New Roman" w:hAnsi="Times New Roman" w:cs="Times New Roman"/>
          <w:sz w:val="24"/>
          <w:szCs w:val="24"/>
        </w:rPr>
        <w:t>.</w:t>
      </w:r>
    </w:p>
    <w:p w14:paraId="0FEDB44D" w14:textId="77777777" w:rsidR="00ED3FDE" w:rsidRDefault="00ED3FDE">
      <w:pPr>
        <w:rPr>
          <w:rFonts w:ascii="Times New Roman" w:hAnsi="Times New Roman" w:cs="Times New Roman"/>
          <w:sz w:val="24"/>
          <w:szCs w:val="24"/>
        </w:rPr>
      </w:pPr>
      <w:r>
        <w:rPr>
          <w:rFonts w:ascii="Times New Roman" w:hAnsi="Times New Roman" w:cs="Times New Roman"/>
          <w:sz w:val="24"/>
          <w:szCs w:val="24"/>
        </w:rPr>
        <w:br w:type="page"/>
      </w:r>
    </w:p>
    <w:p w14:paraId="0FEBBE2A" w14:textId="77FC2B3D" w:rsidR="006E55DD" w:rsidRDefault="00ED3FDE" w:rsidP="00ED3FDE">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2013B07C" w14:textId="1395920C" w:rsidR="00ED3FDE" w:rsidRDefault="00ED3FDE" w:rsidP="00ED3FDE">
      <w:pPr>
        <w:spacing w:line="480" w:lineRule="auto"/>
        <w:ind w:firstLine="720"/>
        <w:contextualSpacing/>
        <w:rPr>
          <w:rFonts w:ascii="Times New Roman" w:hAnsi="Times New Roman" w:cs="Times New Roman"/>
          <w:sz w:val="24"/>
          <w:szCs w:val="24"/>
        </w:rPr>
      </w:pPr>
      <w:r w:rsidRPr="00ED3FDE">
        <w:rPr>
          <w:rFonts w:ascii="Times New Roman" w:hAnsi="Times New Roman" w:cs="Times New Roman"/>
          <w:sz w:val="24"/>
          <w:szCs w:val="24"/>
        </w:rPr>
        <w:t>Sommers, B. D., Gawande, A. A., &amp; Baicker, K. (2017). Health insurance coverage and health—what the recent evidence tells us. </w:t>
      </w:r>
      <w:r w:rsidRPr="00ED3FDE">
        <w:rPr>
          <w:rFonts w:ascii="Times New Roman" w:hAnsi="Times New Roman" w:cs="Times New Roman"/>
          <w:i/>
          <w:iCs/>
          <w:sz w:val="24"/>
          <w:szCs w:val="24"/>
        </w:rPr>
        <w:t xml:space="preserve">N </w:t>
      </w:r>
      <w:proofErr w:type="spellStart"/>
      <w:r w:rsidRPr="00ED3FDE">
        <w:rPr>
          <w:rFonts w:ascii="Times New Roman" w:hAnsi="Times New Roman" w:cs="Times New Roman"/>
          <w:i/>
          <w:iCs/>
          <w:sz w:val="24"/>
          <w:szCs w:val="24"/>
        </w:rPr>
        <w:t>Engl</w:t>
      </w:r>
      <w:proofErr w:type="spellEnd"/>
      <w:r w:rsidRPr="00ED3FDE">
        <w:rPr>
          <w:rFonts w:ascii="Times New Roman" w:hAnsi="Times New Roman" w:cs="Times New Roman"/>
          <w:i/>
          <w:iCs/>
          <w:sz w:val="24"/>
          <w:szCs w:val="24"/>
        </w:rPr>
        <w:t xml:space="preserve"> J Med</w:t>
      </w:r>
      <w:r w:rsidRPr="00ED3FDE">
        <w:rPr>
          <w:rFonts w:ascii="Times New Roman" w:hAnsi="Times New Roman" w:cs="Times New Roman"/>
          <w:sz w:val="24"/>
          <w:szCs w:val="24"/>
        </w:rPr>
        <w:t>, </w:t>
      </w:r>
      <w:r w:rsidRPr="00ED3FDE">
        <w:rPr>
          <w:rFonts w:ascii="Times New Roman" w:hAnsi="Times New Roman" w:cs="Times New Roman"/>
          <w:i/>
          <w:iCs/>
          <w:sz w:val="24"/>
          <w:szCs w:val="24"/>
        </w:rPr>
        <w:t>377</w:t>
      </w:r>
      <w:r w:rsidRPr="00ED3FDE">
        <w:rPr>
          <w:rFonts w:ascii="Times New Roman" w:hAnsi="Times New Roman" w:cs="Times New Roman"/>
          <w:sz w:val="24"/>
          <w:szCs w:val="24"/>
        </w:rPr>
        <w:t>(6), 586-593.</w:t>
      </w:r>
    </w:p>
    <w:p w14:paraId="6C108064" w14:textId="4E3E38D3" w:rsidR="00ED3FDE" w:rsidRDefault="00ED3FDE" w:rsidP="00ED3FDE">
      <w:pPr>
        <w:spacing w:line="480" w:lineRule="auto"/>
        <w:ind w:firstLine="720"/>
        <w:contextualSpacing/>
        <w:rPr>
          <w:rFonts w:ascii="Times New Roman" w:hAnsi="Times New Roman" w:cs="Times New Roman"/>
          <w:sz w:val="24"/>
          <w:szCs w:val="24"/>
        </w:rPr>
      </w:pPr>
      <w:proofErr w:type="spellStart"/>
      <w:r w:rsidRPr="00ED3FDE">
        <w:rPr>
          <w:rFonts w:ascii="Times New Roman" w:hAnsi="Times New Roman" w:cs="Times New Roman"/>
          <w:sz w:val="24"/>
          <w:szCs w:val="24"/>
        </w:rPr>
        <w:t>Uberoi</w:t>
      </w:r>
      <w:proofErr w:type="spellEnd"/>
      <w:r w:rsidRPr="00ED3FDE">
        <w:rPr>
          <w:rFonts w:ascii="Times New Roman" w:hAnsi="Times New Roman" w:cs="Times New Roman"/>
          <w:sz w:val="24"/>
          <w:szCs w:val="24"/>
        </w:rPr>
        <w:t xml:space="preserve">, N., </w:t>
      </w:r>
      <w:proofErr w:type="spellStart"/>
      <w:r w:rsidRPr="00ED3FDE">
        <w:rPr>
          <w:rFonts w:ascii="Times New Roman" w:hAnsi="Times New Roman" w:cs="Times New Roman"/>
          <w:sz w:val="24"/>
          <w:szCs w:val="24"/>
        </w:rPr>
        <w:t>Finegold</w:t>
      </w:r>
      <w:proofErr w:type="spellEnd"/>
      <w:r w:rsidRPr="00ED3FDE">
        <w:rPr>
          <w:rFonts w:ascii="Times New Roman" w:hAnsi="Times New Roman" w:cs="Times New Roman"/>
          <w:sz w:val="24"/>
          <w:szCs w:val="24"/>
        </w:rPr>
        <w:t>, K., &amp; Gee, E. (2016). </w:t>
      </w:r>
      <w:r w:rsidRPr="00ED3FDE">
        <w:rPr>
          <w:rFonts w:ascii="Times New Roman" w:hAnsi="Times New Roman" w:cs="Times New Roman"/>
          <w:i/>
          <w:iCs/>
          <w:sz w:val="24"/>
          <w:szCs w:val="24"/>
        </w:rPr>
        <w:t>Health insurance coverage and the Affordable Care Act, 2010-2016</w:t>
      </w:r>
      <w:r w:rsidRPr="00ED3FDE">
        <w:rPr>
          <w:rFonts w:ascii="Times New Roman" w:hAnsi="Times New Roman" w:cs="Times New Roman"/>
          <w:sz w:val="24"/>
          <w:szCs w:val="24"/>
        </w:rPr>
        <w:t>. Washington (DC): Department of Health and Human Services, Office of the Assistant Secretary for Planning and Evaluation.</w:t>
      </w:r>
    </w:p>
    <w:p w14:paraId="4416E519" w14:textId="43680FA8" w:rsidR="00ED3FDE" w:rsidRDefault="00ED3FDE" w:rsidP="00ED3FDE">
      <w:pPr>
        <w:spacing w:line="480" w:lineRule="auto"/>
        <w:ind w:firstLine="720"/>
        <w:contextualSpacing/>
        <w:rPr>
          <w:rFonts w:ascii="Times New Roman" w:hAnsi="Times New Roman" w:cs="Times New Roman"/>
          <w:sz w:val="24"/>
          <w:szCs w:val="24"/>
        </w:rPr>
      </w:pPr>
      <w:r w:rsidRPr="00ED3FDE">
        <w:rPr>
          <w:rFonts w:ascii="Times New Roman" w:hAnsi="Times New Roman" w:cs="Times New Roman"/>
          <w:sz w:val="24"/>
          <w:szCs w:val="24"/>
        </w:rPr>
        <w:t xml:space="preserve">Baicker, K., Congdon, W. J., &amp; Mullainathan, S. (2012). Health insurance coverage and take‐up: Lessons from </w:t>
      </w:r>
      <w:proofErr w:type="spellStart"/>
      <w:r w:rsidRPr="00ED3FDE">
        <w:rPr>
          <w:rFonts w:ascii="Times New Roman" w:hAnsi="Times New Roman" w:cs="Times New Roman"/>
          <w:sz w:val="24"/>
          <w:szCs w:val="24"/>
        </w:rPr>
        <w:t>behavioral</w:t>
      </w:r>
      <w:proofErr w:type="spellEnd"/>
      <w:r w:rsidRPr="00ED3FDE">
        <w:rPr>
          <w:rFonts w:ascii="Times New Roman" w:hAnsi="Times New Roman" w:cs="Times New Roman"/>
          <w:sz w:val="24"/>
          <w:szCs w:val="24"/>
        </w:rPr>
        <w:t xml:space="preserve"> economics. </w:t>
      </w:r>
      <w:r w:rsidRPr="00ED3FDE">
        <w:rPr>
          <w:rFonts w:ascii="Times New Roman" w:hAnsi="Times New Roman" w:cs="Times New Roman"/>
          <w:i/>
          <w:iCs/>
          <w:sz w:val="24"/>
          <w:szCs w:val="24"/>
        </w:rPr>
        <w:t>The Milbank Quarterly</w:t>
      </w:r>
      <w:r w:rsidRPr="00ED3FDE">
        <w:rPr>
          <w:rFonts w:ascii="Times New Roman" w:hAnsi="Times New Roman" w:cs="Times New Roman"/>
          <w:sz w:val="24"/>
          <w:szCs w:val="24"/>
        </w:rPr>
        <w:t>, </w:t>
      </w:r>
      <w:r w:rsidRPr="00ED3FDE">
        <w:rPr>
          <w:rFonts w:ascii="Times New Roman" w:hAnsi="Times New Roman" w:cs="Times New Roman"/>
          <w:i/>
          <w:iCs/>
          <w:sz w:val="24"/>
          <w:szCs w:val="24"/>
        </w:rPr>
        <w:t>90</w:t>
      </w:r>
      <w:r w:rsidRPr="00ED3FDE">
        <w:rPr>
          <w:rFonts w:ascii="Times New Roman" w:hAnsi="Times New Roman" w:cs="Times New Roman"/>
          <w:sz w:val="24"/>
          <w:szCs w:val="24"/>
        </w:rPr>
        <w:t>(1), 107-134.</w:t>
      </w:r>
    </w:p>
    <w:p w14:paraId="0A2D826A" w14:textId="1BF672B6" w:rsidR="00ED3FDE" w:rsidRPr="00A17A53" w:rsidRDefault="00ED3FDE" w:rsidP="00ED3FDE">
      <w:pPr>
        <w:spacing w:line="480" w:lineRule="auto"/>
        <w:ind w:firstLine="720"/>
        <w:contextualSpacing/>
        <w:rPr>
          <w:rFonts w:ascii="Times New Roman" w:hAnsi="Times New Roman" w:cs="Times New Roman"/>
          <w:sz w:val="24"/>
          <w:szCs w:val="24"/>
        </w:rPr>
      </w:pPr>
      <w:r w:rsidRPr="00ED3FDE">
        <w:rPr>
          <w:rFonts w:ascii="Times New Roman" w:hAnsi="Times New Roman" w:cs="Times New Roman"/>
          <w:sz w:val="24"/>
          <w:szCs w:val="24"/>
        </w:rPr>
        <w:t>Shields, D. A. (2015). </w:t>
      </w:r>
      <w:r w:rsidRPr="00ED3FDE">
        <w:rPr>
          <w:rFonts w:ascii="Times New Roman" w:hAnsi="Times New Roman" w:cs="Times New Roman"/>
          <w:i/>
          <w:iCs/>
          <w:sz w:val="24"/>
          <w:szCs w:val="24"/>
        </w:rPr>
        <w:t>Federal crop insurance: Background</w:t>
      </w:r>
      <w:r w:rsidRPr="00ED3FDE">
        <w:rPr>
          <w:rFonts w:ascii="Times New Roman" w:hAnsi="Times New Roman" w:cs="Times New Roman"/>
          <w:sz w:val="24"/>
          <w:szCs w:val="24"/>
        </w:rPr>
        <w:t> (pp. 7-5700). Washington, DC: Congressional Research Service.</w:t>
      </w:r>
    </w:p>
    <w:sectPr w:rsidR="00ED3FDE" w:rsidRPr="00A17A53" w:rsidSect="00ED3FD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BAB67" w14:textId="77777777" w:rsidR="003F2890" w:rsidRDefault="003F2890" w:rsidP="00ED3FDE">
      <w:pPr>
        <w:spacing w:after="0" w:line="240" w:lineRule="auto"/>
      </w:pPr>
      <w:r>
        <w:separator/>
      </w:r>
    </w:p>
  </w:endnote>
  <w:endnote w:type="continuationSeparator" w:id="0">
    <w:p w14:paraId="6E003413" w14:textId="77777777" w:rsidR="003F2890" w:rsidRDefault="003F2890" w:rsidP="00ED3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CE006" w14:textId="77777777" w:rsidR="003F2890" w:rsidRDefault="003F2890" w:rsidP="00ED3FDE">
      <w:pPr>
        <w:spacing w:after="0" w:line="240" w:lineRule="auto"/>
      </w:pPr>
      <w:r>
        <w:separator/>
      </w:r>
    </w:p>
  </w:footnote>
  <w:footnote w:type="continuationSeparator" w:id="0">
    <w:p w14:paraId="35856C93" w14:textId="77777777" w:rsidR="003F2890" w:rsidRDefault="003F2890" w:rsidP="00ED3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915CE" w14:textId="6FFBD4CA" w:rsidR="00ED3FDE" w:rsidRPr="00ED3FDE" w:rsidRDefault="00ED3FDE">
    <w:pPr>
      <w:pStyle w:val="Header"/>
      <w:rPr>
        <w:rFonts w:ascii="Times New Roman" w:hAnsi="Times New Roman" w:cs="Times New Roman"/>
        <w:sz w:val="24"/>
        <w:szCs w:val="24"/>
      </w:rPr>
    </w:pPr>
    <w:r w:rsidRPr="00ED3FDE">
      <w:rPr>
        <w:rFonts w:ascii="Times New Roman" w:hAnsi="Times New Roman" w:cs="Times New Roman"/>
        <w:sz w:val="24"/>
        <w:szCs w:val="24"/>
      </w:rPr>
      <w:t>INSURANCE POLICY</w:t>
    </w:r>
    <w:r w:rsidRPr="00ED3FDE">
      <w:rPr>
        <w:rFonts w:ascii="Times New Roman" w:hAnsi="Times New Roman" w:cs="Times New Roman"/>
        <w:sz w:val="24"/>
        <w:szCs w:val="24"/>
      </w:rPr>
      <w:tab/>
    </w:r>
    <w:r w:rsidRPr="00ED3FDE">
      <w:rPr>
        <w:rFonts w:ascii="Times New Roman" w:hAnsi="Times New Roman" w:cs="Times New Roman"/>
        <w:sz w:val="24"/>
        <w:szCs w:val="24"/>
      </w:rPr>
      <w:tab/>
    </w:r>
    <w:r w:rsidRPr="00ED3FDE">
      <w:rPr>
        <w:rFonts w:ascii="Times New Roman" w:hAnsi="Times New Roman" w:cs="Times New Roman"/>
        <w:sz w:val="24"/>
        <w:szCs w:val="24"/>
      </w:rPr>
      <w:fldChar w:fldCharType="begin"/>
    </w:r>
    <w:r w:rsidRPr="00ED3FDE">
      <w:rPr>
        <w:rFonts w:ascii="Times New Roman" w:hAnsi="Times New Roman" w:cs="Times New Roman"/>
        <w:sz w:val="24"/>
        <w:szCs w:val="24"/>
      </w:rPr>
      <w:instrText xml:space="preserve"> PAGE   \* MERGEFORMAT </w:instrText>
    </w:r>
    <w:r w:rsidRPr="00ED3FDE">
      <w:rPr>
        <w:rFonts w:ascii="Times New Roman" w:hAnsi="Times New Roman" w:cs="Times New Roman"/>
        <w:sz w:val="24"/>
        <w:szCs w:val="24"/>
      </w:rPr>
      <w:fldChar w:fldCharType="separate"/>
    </w:r>
    <w:r w:rsidR="003A3477">
      <w:rPr>
        <w:rFonts w:ascii="Times New Roman" w:hAnsi="Times New Roman" w:cs="Times New Roman"/>
        <w:noProof/>
        <w:sz w:val="24"/>
        <w:szCs w:val="24"/>
      </w:rPr>
      <w:t>6</w:t>
    </w:r>
    <w:r w:rsidRPr="00ED3FD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73B7" w14:textId="58BD4285" w:rsidR="00ED3FDE" w:rsidRPr="00ED3FDE" w:rsidRDefault="00ED3FDE" w:rsidP="00ED3FDE">
    <w:pPr>
      <w:pStyle w:val="Header"/>
      <w:rPr>
        <w:rFonts w:ascii="Times New Roman" w:hAnsi="Times New Roman" w:cs="Times New Roman"/>
        <w:sz w:val="24"/>
        <w:szCs w:val="24"/>
      </w:rPr>
    </w:pPr>
    <w:r w:rsidRPr="00ED3FDE">
      <w:rPr>
        <w:rFonts w:ascii="Times New Roman" w:hAnsi="Times New Roman" w:cs="Times New Roman"/>
        <w:sz w:val="24"/>
        <w:szCs w:val="24"/>
      </w:rPr>
      <w:t>Running head: INSURANCE POLICY</w:t>
    </w:r>
    <w:r w:rsidRPr="00ED3FDE">
      <w:rPr>
        <w:rFonts w:ascii="Times New Roman" w:hAnsi="Times New Roman" w:cs="Times New Roman"/>
        <w:sz w:val="24"/>
        <w:szCs w:val="24"/>
      </w:rPr>
      <w:tab/>
    </w:r>
    <w:r w:rsidRPr="00ED3FDE">
      <w:rPr>
        <w:rFonts w:ascii="Times New Roman" w:hAnsi="Times New Roman" w:cs="Times New Roman"/>
        <w:sz w:val="24"/>
        <w:szCs w:val="24"/>
      </w:rPr>
      <w:tab/>
    </w:r>
    <w:r w:rsidRPr="00ED3FDE">
      <w:rPr>
        <w:rFonts w:ascii="Times New Roman" w:hAnsi="Times New Roman" w:cs="Times New Roman"/>
        <w:sz w:val="24"/>
        <w:szCs w:val="24"/>
      </w:rPr>
      <w:fldChar w:fldCharType="begin"/>
    </w:r>
    <w:r w:rsidRPr="00ED3FDE">
      <w:rPr>
        <w:rFonts w:ascii="Times New Roman" w:hAnsi="Times New Roman" w:cs="Times New Roman"/>
        <w:sz w:val="24"/>
        <w:szCs w:val="24"/>
      </w:rPr>
      <w:instrText xml:space="preserve"> PAGE   \* MERGEFORMAT </w:instrText>
    </w:r>
    <w:r w:rsidRPr="00ED3FDE">
      <w:rPr>
        <w:rFonts w:ascii="Times New Roman" w:hAnsi="Times New Roman" w:cs="Times New Roman"/>
        <w:sz w:val="24"/>
        <w:szCs w:val="24"/>
      </w:rPr>
      <w:fldChar w:fldCharType="separate"/>
    </w:r>
    <w:r w:rsidR="003A3477">
      <w:rPr>
        <w:rFonts w:ascii="Times New Roman" w:hAnsi="Times New Roman" w:cs="Times New Roman"/>
        <w:noProof/>
        <w:sz w:val="24"/>
        <w:szCs w:val="24"/>
      </w:rPr>
      <w:t>1</w:t>
    </w:r>
    <w:r w:rsidRPr="00ED3FDE">
      <w:rPr>
        <w:rFonts w:ascii="Times New Roman" w:hAnsi="Times New Roman" w:cs="Times New Roman"/>
        <w:noProof/>
        <w:sz w:val="24"/>
        <w:szCs w:val="24"/>
      </w:rPr>
      <w:fldChar w:fldCharType="end"/>
    </w:r>
  </w:p>
  <w:p w14:paraId="57AC816B" w14:textId="77777777" w:rsidR="00ED3FDE" w:rsidRDefault="00ED3F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361"/>
    <w:rsid w:val="000E2BCC"/>
    <w:rsid w:val="00184253"/>
    <w:rsid w:val="00281C67"/>
    <w:rsid w:val="00303128"/>
    <w:rsid w:val="0033236C"/>
    <w:rsid w:val="003A3477"/>
    <w:rsid w:val="003F2890"/>
    <w:rsid w:val="00516136"/>
    <w:rsid w:val="005C3FE6"/>
    <w:rsid w:val="0062206A"/>
    <w:rsid w:val="006E55DD"/>
    <w:rsid w:val="00900846"/>
    <w:rsid w:val="009A5B09"/>
    <w:rsid w:val="00A17A53"/>
    <w:rsid w:val="00C11F19"/>
    <w:rsid w:val="00ED3FDE"/>
    <w:rsid w:val="00EF0615"/>
    <w:rsid w:val="00F66772"/>
    <w:rsid w:val="00F77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85652"/>
  <w15:chartTrackingRefBased/>
  <w15:docId w15:val="{B647BBDD-C201-403E-A004-6B910DF5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HChar">
    <w:name w:val="PH Char"/>
    <w:link w:val="PH"/>
    <w:locked/>
    <w:rsid w:val="00F66772"/>
    <w:rPr>
      <w:noProof/>
      <w:lang w:val="en-US"/>
    </w:rPr>
  </w:style>
  <w:style w:type="paragraph" w:customStyle="1" w:styleId="PH">
    <w:name w:val="PH"/>
    <w:link w:val="PHChar"/>
    <w:rsid w:val="00F66772"/>
    <w:pPr>
      <w:tabs>
        <w:tab w:val="left" w:pos="1872"/>
      </w:tabs>
      <w:spacing w:after="240" w:line="240" w:lineRule="auto"/>
      <w:ind w:left="1872" w:hanging="432"/>
      <w:jc w:val="both"/>
    </w:pPr>
    <w:rPr>
      <w:noProof/>
      <w:lang w:val="en-US"/>
    </w:rPr>
  </w:style>
  <w:style w:type="paragraph" w:styleId="Header">
    <w:name w:val="header"/>
    <w:basedOn w:val="Normal"/>
    <w:link w:val="HeaderChar"/>
    <w:uiPriority w:val="99"/>
    <w:unhideWhenUsed/>
    <w:rsid w:val="00ED3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FDE"/>
  </w:style>
  <w:style w:type="paragraph" w:styleId="Footer">
    <w:name w:val="footer"/>
    <w:basedOn w:val="Normal"/>
    <w:link w:val="FooterChar"/>
    <w:uiPriority w:val="99"/>
    <w:unhideWhenUsed/>
    <w:rsid w:val="00ED3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57333">
      <w:bodyDiv w:val="1"/>
      <w:marLeft w:val="0"/>
      <w:marRight w:val="0"/>
      <w:marTop w:val="0"/>
      <w:marBottom w:val="0"/>
      <w:divBdr>
        <w:top w:val="none" w:sz="0" w:space="0" w:color="auto"/>
        <w:left w:val="none" w:sz="0" w:space="0" w:color="auto"/>
        <w:bottom w:val="none" w:sz="0" w:space="0" w:color="auto"/>
        <w:right w:val="none" w:sz="0" w:space="0" w:color="auto"/>
      </w:divBdr>
    </w:div>
    <w:div w:id="92173145">
      <w:bodyDiv w:val="1"/>
      <w:marLeft w:val="0"/>
      <w:marRight w:val="0"/>
      <w:marTop w:val="0"/>
      <w:marBottom w:val="0"/>
      <w:divBdr>
        <w:top w:val="none" w:sz="0" w:space="0" w:color="auto"/>
        <w:left w:val="none" w:sz="0" w:space="0" w:color="auto"/>
        <w:bottom w:val="none" w:sz="0" w:space="0" w:color="auto"/>
        <w:right w:val="none" w:sz="0" w:space="0" w:color="auto"/>
      </w:divBdr>
    </w:div>
    <w:div w:id="278412064">
      <w:bodyDiv w:val="1"/>
      <w:marLeft w:val="0"/>
      <w:marRight w:val="0"/>
      <w:marTop w:val="0"/>
      <w:marBottom w:val="0"/>
      <w:divBdr>
        <w:top w:val="none" w:sz="0" w:space="0" w:color="auto"/>
        <w:left w:val="none" w:sz="0" w:space="0" w:color="auto"/>
        <w:bottom w:val="none" w:sz="0" w:space="0" w:color="auto"/>
        <w:right w:val="none" w:sz="0" w:space="0" w:color="auto"/>
      </w:divBdr>
    </w:div>
    <w:div w:id="533202510">
      <w:bodyDiv w:val="1"/>
      <w:marLeft w:val="0"/>
      <w:marRight w:val="0"/>
      <w:marTop w:val="0"/>
      <w:marBottom w:val="0"/>
      <w:divBdr>
        <w:top w:val="none" w:sz="0" w:space="0" w:color="auto"/>
        <w:left w:val="none" w:sz="0" w:space="0" w:color="auto"/>
        <w:bottom w:val="none" w:sz="0" w:space="0" w:color="auto"/>
        <w:right w:val="none" w:sz="0" w:space="0" w:color="auto"/>
      </w:divBdr>
    </w:div>
    <w:div w:id="180407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2020-07-25T19:57:00Z</dcterms:created>
  <dcterms:modified xsi:type="dcterms:W3CDTF">2020-07-25T19:57:00Z</dcterms:modified>
</cp:coreProperties>
</file>