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E1E28"/>
    <w:p w:rsidR="00E2102D"/>
    <w:p w:rsidR="00E2102D"/>
    <w:p w:rsidR="00E2102D" w:rsidP="00E2102D">
      <w:pPr>
        <w:jc w:val="center"/>
      </w:pPr>
    </w:p>
    <w:p w:rsidR="00E2102D" w:rsidP="00E2102D">
      <w:pPr>
        <w:spacing w:line="480" w:lineRule="auto"/>
        <w:jc w:val="center"/>
        <w:rPr>
          <w:rFonts w:asciiTheme="majorBidi" w:hAnsiTheme="majorBidi" w:cstheme="majorBidi"/>
          <w:sz w:val="24"/>
          <w:szCs w:val="24"/>
        </w:rPr>
      </w:pPr>
      <w:r>
        <w:rPr>
          <w:rFonts w:asciiTheme="majorBidi" w:hAnsiTheme="majorBidi" w:cstheme="majorBidi"/>
          <w:sz w:val="24"/>
          <w:szCs w:val="24"/>
        </w:rPr>
        <w:t>California Self-Defense Law</w:t>
      </w:r>
    </w:p>
    <w:p w:rsidR="00E2102D" w:rsidP="00E2102D">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E2102D" w:rsidP="00E2102D">
      <w:pPr>
        <w:spacing w:line="480" w:lineRule="auto"/>
        <w:jc w:val="center"/>
        <w:rPr>
          <w:rFonts w:asciiTheme="majorBidi" w:hAnsiTheme="majorBidi" w:cstheme="majorBidi"/>
          <w:sz w:val="24"/>
          <w:szCs w:val="24"/>
        </w:rPr>
      </w:pPr>
      <w:r>
        <w:rPr>
          <w:rFonts w:asciiTheme="majorBidi" w:hAnsiTheme="majorBidi" w:cstheme="majorBidi"/>
          <w:sz w:val="24"/>
          <w:szCs w:val="24"/>
        </w:rPr>
        <w:t>Institution</w:t>
      </w:r>
    </w:p>
    <w:p w:rsidR="00E2102D" w:rsidP="00E2102D">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E2102D">
      <w:pPr>
        <w:rPr>
          <w:rFonts w:asciiTheme="majorBidi" w:hAnsiTheme="majorBidi" w:cstheme="majorBidi"/>
          <w:sz w:val="24"/>
          <w:szCs w:val="24"/>
        </w:rPr>
      </w:pPr>
      <w:r>
        <w:rPr>
          <w:rFonts w:asciiTheme="majorBidi" w:hAnsiTheme="majorBidi" w:cstheme="majorBidi"/>
          <w:sz w:val="24"/>
          <w:szCs w:val="24"/>
        </w:rPr>
        <w:br w:type="page"/>
      </w:r>
    </w:p>
    <w:p w:rsidR="00E2102D" w:rsidP="00E2102D">
      <w:pPr>
        <w:spacing w:line="480" w:lineRule="auto"/>
        <w:jc w:val="center"/>
        <w:rPr>
          <w:rFonts w:asciiTheme="majorBidi" w:hAnsiTheme="majorBidi" w:cstheme="majorBidi"/>
          <w:sz w:val="24"/>
          <w:szCs w:val="24"/>
        </w:rPr>
      </w:pPr>
      <w:r>
        <w:rPr>
          <w:rFonts w:asciiTheme="majorBidi" w:hAnsiTheme="majorBidi" w:cstheme="majorBidi"/>
          <w:sz w:val="24"/>
          <w:szCs w:val="24"/>
        </w:rPr>
        <w:t>California Self-Defense Law</w:t>
      </w:r>
    </w:p>
    <w:p w:rsidR="006A6ECD" w:rsidP="007171CC">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California is one of the twenty-three states in the United States that have the self-defense law enacted in their constitution. Besides California, states like Florida, New Mexico, </w:t>
      </w:r>
      <w:r w:rsidR="009B4658">
        <w:rPr>
          <w:rFonts w:asciiTheme="majorBidi" w:hAnsiTheme="majorBidi" w:cstheme="majorBidi"/>
          <w:sz w:val="24"/>
          <w:szCs w:val="24"/>
        </w:rPr>
        <w:t xml:space="preserve">Texas, Utah, Michigan, and Montana among others. The self-defense law is commonly referred to as “stand-your-ground” since it entitles the citizens with the rights to defend themselves and their property from intruders. However, various states have their versions </w:t>
      </w:r>
      <w:r w:rsidR="00DA7B2C">
        <w:rPr>
          <w:rFonts w:asciiTheme="majorBidi" w:hAnsiTheme="majorBidi" w:cstheme="majorBidi"/>
          <w:sz w:val="24"/>
          <w:szCs w:val="24"/>
        </w:rPr>
        <w:t>of the law that outlining the circumstances under which it applies. Generally, stand-your-ground law accords the citizens the right to fight back and protect their property from unlawful intruders</w:t>
      </w:r>
      <w:sdt>
        <w:sdtPr>
          <w:rPr>
            <w:rFonts w:asciiTheme="majorBidi" w:hAnsiTheme="majorBidi" w:cstheme="majorBidi"/>
            <w:sz w:val="24"/>
            <w:szCs w:val="24"/>
          </w:rPr>
          <w:id w:val="-1825050022"/>
          <w:citation/>
        </w:sdtPr>
        <w:sdtContent>
          <w:r w:rsidR="00A3649B">
            <w:rPr>
              <w:rFonts w:asciiTheme="majorBidi" w:hAnsiTheme="majorBidi" w:cstheme="majorBidi"/>
              <w:sz w:val="24"/>
              <w:szCs w:val="24"/>
            </w:rPr>
            <w:fldChar w:fldCharType="begin"/>
          </w:r>
          <w:r w:rsidR="00A3649B">
            <w:rPr>
              <w:rFonts w:asciiTheme="majorBidi" w:hAnsiTheme="majorBidi" w:cstheme="majorBidi"/>
              <w:sz w:val="24"/>
              <w:szCs w:val="24"/>
            </w:rPr>
            <w:instrText xml:space="preserve"> CITATION Rom13 \l 1033 </w:instrText>
          </w:r>
          <w:r w:rsidR="00A3649B">
            <w:rPr>
              <w:rFonts w:asciiTheme="majorBidi" w:hAnsiTheme="majorBidi" w:cstheme="majorBidi"/>
              <w:sz w:val="24"/>
              <w:szCs w:val="24"/>
            </w:rPr>
            <w:fldChar w:fldCharType="separate"/>
          </w:r>
          <w:r w:rsidR="00A3649B">
            <w:rPr>
              <w:rFonts w:asciiTheme="majorBidi" w:hAnsiTheme="majorBidi" w:cstheme="majorBidi"/>
              <w:noProof/>
              <w:sz w:val="24"/>
              <w:szCs w:val="24"/>
            </w:rPr>
            <w:t xml:space="preserve"> </w:t>
          </w:r>
          <w:r w:rsidRPr="00A3649B" w:rsidR="00A3649B">
            <w:rPr>
              <w:rFonts w:asciiTheme="majorBidi" w:hAnsiTheme="majorBidi" w:cstheme="majorBidi"/>
              <w:noProof/>
              <w:sz w:val="24"/>
              <w:szCs w:val="24"/>
            </w:rPr>
            <w:t>(John, 2013)</w:t>
          </w:r>
          <w:r w:rsidR="00A3649B">
            <w:rPr>
              <w:rFonts w:asciiTheme="majorBidi" w:hAnsiTheme="majorBidi" w:cstheme="majorBidi"/>
              <w:sz w:val="24"/>
              <w:szCs w:val="24"/>
            </w:rPr>
            <w:fldChar w:fldCharType="end"/>
          </w:r>
        </w:sdtContent>
      </w:sdt>
      <w:r w:rsidR="00DA7B2C">
        <w:rPr>
          <w:rFonts w:asciiTheme="majorBidi" w:hAnsiTheme="majorBidi" w:cstheme="majorBidi"/>
          <w:sz w:val="24"/>
          <w:szCs w:val="24"/>
        </w:rPr>
        <w:t>.</w:t>
      </w:r>
      <w:r w:rsidR="0048338B">
        <w:rPr>
          <w:rFonts w:asciiTheme="majorBidi" w:hAnsiTheme="majorBidi" w:cstheme="majorBidi"/>
          <w:sz w:val="24"/>
          <w:szCs w:val="24"/>
        </w:rPr>
        <w:t xml:space="preserve"> It permits the citizens to use proportionate force depending on the threat.</w:t>
      </w:r>
    </w:p>
    <w:p w:rsidR="0048338B" w:rsidP="006A6EC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In California, the stand-your-ground law is captured in the </w:t>
      </w:r>
      <w:r w:rsidR="000F44F8">
        <w:rPr>
          <w:rFonts w:asciiTheme="majorBidi" w:hAnsiTheme="majorBidi" w:cstheme="majorBidi"/>
          <w:sz w:val="24"/>
          <w:szCs w:val="24"/>
        </w:rPr>
        <w:t>State’s Penal code section 198.5. The penal code was first enacted in 1872 and has undergone reviews by both the state assembly and the Judicial Council that has provided various elaboration on the law. For instance, the Jury Instructions have outlined the circumstances under which the law applies whe</w:t>
      </w:r>
      <w:r w:rsidR="00633CEC">
        <w:rPr>
          <w:rFonts w:asciiTheme="majorBidi" w:hAnsiTheme="majorBidi" w:cstheme="majorBidi"/>
          <w:sz w:val="24"/>
          <w:szCs w:val="24"/>
        </w:rPr>
        <w:t xml:space="preserve">n a person acts in self-defense or in defense of another. Nonetheless, the fundamentals of the law have remained untouched since its first enactment in 1872. </w:t>
      </w:r>
      <w:r w:rsidR="00096D28">
        <w:rPr>
          <w:rFonts w:asciiTheme="majorBidi" w:hAnsiTheme="majorBidi" w:cstheme="majorBidi"/>
          <w:sz w:val="24"/>
          <w:szCs w:val="24"/>
        </w:rPr>
        <w:t xml:space="preserve">Currently, California is one of the states in the US that has fairly elaborate stand-your-ground laws that protects both the perpetrators and the victims. </w:t>
      </w:r>
    </w:p>
    <w:p w:rsidR="007278FE" w:rsidP="006A6ECD">
      <w:pPr>
        <w:spacing w:line="480" w:lineRule="auto"/>
        <w:ind w:firstLine="720"/>
        <w:rPr>
          <w:rFonts w:asciiTheme="majorBidi" w:hAnsiTheme="majorBidi" w:cstheme="majorBidi"/>
          <w:sz w:val="24"/>
          <w:szCs w:val="24"/>
        </w:rPr>
      </w:pPr>
      <w:r>
        <w:rPr>
          <w:rFonts w:asciiTheme="majorBidi" w:hAnsiTheme="majorBidi" w:cstheme="majorBidi"/>
          <w:sz w:val="24"/>
          <w:szCs w:val="24"/>
        </w:rPr>
        <w:t>The self-defense law in the state of California is divided</w:t>
      </w:r>
      <w:r w:rsidR="00904952">
        <w:rPr>
          <w:rFonts w:asciiTheme="majorBidi" w:hAnsiTheme="majorBidi" w:cstheme="majorBidi"/>
          <w:sz w:val="24"/>
          <w:szCs w:val="24"/>
        </w:rPr>
        <w:t xml:space="preserve"> into four </w:t>
      </w:r>
      <w:r>
        <w:rPr>
          <w:rFonts w:asciiTheme="majorBidi" w:hAnsiTheme="majorBidi" w:cstheme="majorBidi"/>
          <w:sz w:val="24"/>
          <w:szCs w:val="24"/>
        </w:rPr>
        <w:t xml:space="preserve">critical areas </w:t>
      </w:r>
      <w:r w:rsidR="00B3077D">
        <w:rPr>
          <w:rFonts w:asciiTheme="majorBidi" w:hAnsiTheme="majorBidi" w:cstheme="majorBidi"/>
          <w:sz w:val="24"/>
          <w:szCs w:val="24"/>
        </w:rPr>
        <w:t xml:space="preserve">where an individual is allowed to stand his or her ground. The first sub-section of the law covers the "Castle Doctrine" where a person is allowed to defend his or her home from unlawful intruders. Section 198.5 of the state's penal code permits an individual to use force that can result in bodily harm </w:t>
      </w:r>
      <w:r w:rsidR="007E0C4D">
        <w:rPr>
          <w:rFonts w:asciiTheme="majorBidi" w:hAnsiTheme="majorBidi" w:cstheme="majorBidi"/>
          <w:sz w:val="24"/>
          <w:szCs w:val="24"/>
        </w:rPr>
        <w:t>or even death to against a person that gains unwarranted access to his or her home</w:t>
      </w:r>
      <w:sdt>
        <w:sdtPr>
          <w:rPr>
            <w:rFonts w:asciiTheme="majorBidi" w:hAnsiTheme="majorBidi" w:cstheme="majorBidi"/>
            <w:sz w:val="24"/>
            <w:szCs w:val="24"/>
          </w:rPr>
          <w:id w:val="-459723536"/>
          <w:citation/>
        </w:sdtPr>
        <w:sdtContent>
          <w:r w:rsidR="009D57B1">
            <w:rPr>
              <w:rFonts w:asciiTheme="majorBidi" w:hAnsiTheme="majorBidi" w:cstheme="majorBidi"/>
              <w:sz w:val="24"/>
              <w:szCs w:val="24"/>
            </w:rPr>
            <w:fldChar w:fldCharType="begin"/>
          </w:r>
          <w:r w:rsidR="009D57B1">
            <w:rPr>
              <w:rFonts w:asciiTheme="majorBidi" w:hAnsiTheme="majorBidi" w:cstheme="majorBidi"/>
              <w:sz w:val="24"/>
              <w:szCs w:val="24"/>
            </w:rPr>
            <w:instrText xml:space="preserve"> CITATION PEN \l 1033 </w:instrText>
          </w:r>
          <w:r w:rsidR="009D57B1">
            <w:rPr>
              <w:rFonts w:asciiTheme="majorBidi" w:hAnsiTheme="majorBidi" w:cstheme="majorBidi"/>
              <w:sz w:val="24"/>
              <w:szCs w:val="24"/>
            </w:rPr>
            <w:fldChar w:fldCharType="separate"/>
          </w:r>
          <w:r w:rsidR="009D57B1">
            <w:rPr>
              <w:rFonts w:asciiTheme="majorBidi" w:hAnsiTheme="majorBidi" w:cstheme="majorBidi"/>
              <w:noProof/>
              <w:sz w:val="24"/>
              <w:szCs w:val="24"/>
            </w:rPr>
            <w:t xml:space="preserve"> </w:t>
          </w:r>
          <w:r w:rsidRPr="009D57B1" w:rsidR="009D57B1">
            <w:rPr>
              <w:rFonts w:asciiTheme="majorBidi" w:hAnsiTheme="majorBidi" w:cstheme="majorBidi"/>
              <w:noProof/>
              <w:sz w:val="24"/>
              <w:szCs w:val="24"/>
            </w:rPr>
            <w:t>(PENAL CODE - PEN, n.d.)</w:t>
          </w:r>
          <w:r w:rsidR="009D57B1">
            <w:rPr>
              <w:rFonts w:asciiTheme="majorBidi" w:hAnsiTheme="majorBidi" w:cstheme="majorBidi"/>
              <w:sz w:val="24"/>
              <w:szCs w:val="24"/>
            </w:rPr>
            <w:fldChar w:fldCharType="end"/>
          </w:r>
        </w:sdtContent>
      </w:sdt>
      <w:r w:rsidR="007E0C4D">
        <w:rPr>
          <w:rFonts w:asciiTheme="majorBidi" w:hAnsiTheme="majorBidi" w:cstheme="majorBidi"/>
          <w:sz w:val="24"/>
          <w:szCs w:val="24"/>
        </w:rPr>
        <w:t xml:space="preserve">. </w:t>
      </w:r>
      <w:r>
        <w:rPr>
          <w:rFonts w:asciiTheme="majorBidi" w:hAnsiTheme="majorBidi" w:cstheme="majorBidi"/>
          <w:sz w:val="24"/>
          <w:szCs w:val="24"/>
        </w:rPr>
        <w:t xml:space="preserve">However, the law does not define which kind of </w:t>
      </w:r>
      <w:r>
        <w:rPr>
          <w:rFonts w:asciiTheme="majorBidi" w:hAnsiTheme="majorBidi" w:cstheme="majorBidi"/>
          <w:sz w:val="24"/>
          <w:szCs w:val="24"/>
        </w:rPr>
        <w:t xml:space="preserve">weapon a person is permitted to use in self-defense against an intruder into his or her property. </w:t>
      </w:r>
      <w:r w:rsidR="00904952">
        <w:rPr>
          <w:rFonts w:asciiTheme="majorBidi" w:hAnsiTheme="majorBidi" w:cstheme="majorBidi"/>
          <w:sz w:val="24"/>
          <w:szCs w:val="24"/>
        </w:rPr>
        <w:t>The application of the law under this section is limited to individuals who are not family members. Otherwise, the perpetrator stands to face homicide-related charges before a court of law.
</w:t>
      </w:r>
    </w:p>
    <w:p w:rsidR="00756D7B" w:rsidP="006A6EC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Additionally, the second subsection of the states 198.5 Penal Code </w:t>
      </w:r>
      <w:r w:rsidR="00904952">
        <w:rPr>
          <w:rFonts w:asciiTheme="majorBidi" w:hAnsiTheme="majorBidi" w:cstheme="majorBidi"/>
          <w:sz w:val="24"/>
          <w:szCs w:val="24"/>
        </w:rPr>
        <w:t xml:space="preserve">addresses the issue of defending one's self or another party. It grants an individual permission to use force in </w:t>
      </w:r>
      <w:r w:rsidR="00440537">
        <w:rPr>
          <w:rFonts w:asciiTheme="majorBidi" w:hAnsiTheme="majorBidi" w:cstheme="majorBidi"/>
          <w:sz w:val="24"/>
          <w:szCs w:val="24"/>
        </w:rPr>
        <w:t xml:space="preserve">lawful self-defense or in defending another person. However, the law clearly outlines three circumstances where stand-your-ground law applies in the case of self-defense or in defense of another party. </w:t>
      </w:r>
      <w:r w:rsidR="00B205F5">
        <w:rPr>
          <w:rFonts w:asciiTheme="majorBidi" w:hAnsiTheme="majorBidi" w:cstheme="majorBidi"/>
          <w:sz w:val="24"/>
          <w:szCs w:val="24"/>
        </w:rPr>
        <w:t>Firstly, when the defender is convinced that he or she is under imminent threat. Secondly, whe</w:t>
      </w:r>
      <w:r w:rsidR="00C40AF8">
        <w:rPr>
          <w:rFonts w:asciiTheme="majorBidi" w:hAnsiTheme="majorBidi" w:cstheme="majorBidi"/>
          <w:sz w:val="24"/>
          <w:szCs w:val="24"/>
        </w:rPr>
        <w:t>n the defender is convinced that the use of force is the only solution to prevent the potential. Finally, it applies when the defender uses proportional force to the threat.</w:t>
      </w:r>
    </w:p>
    <w:p w:rsidR="00C40AF8" w:rsidP="006A6ECD">
      <w:pPr>
        <w:spacing w:line="480" w:lineRule="auto"/>
        <w:ind w:firstLine="720"/>
        <w:rPr>
          <w:rFonts w:asciiTheme="majorBidi" w:hAnsiTheme="majorBidi" w:cstheme="majorBidi"/>
          <w:sz w:val="24"/>
          <w:szCs w:val="24"/>
        </w:rPr>
      </w:pPr>
      <w:r>
        <w:rPr>
          <w:rFonts w:asciiTheme="majorBidi" w:hAnsiTheme="majorBidi" w:cstheme="majorBidi"/>
          <w:sz w:val="24"/>
          <w:szCs w:val="24"/>
        </w:rPr>
        <w:t>The third aspect of the self-defense law focuses on a situ</w:t>
      </w:r>
      <w:r w:rsidR="00A71F20">
        <w:rPr>
          <w:rFonts w:asciiTheme="majorBidi" w:hAnsiTheme="majorBidi" w:cstheme="majorBidi"/>
          <w:sz w:val="24"/>
          <w:szCs w:val="24"/>
        </w:rPr>
        <w:t xml:space="preserve">ation where an individual is involved in mutual combat. However, the individual must first give warning to the opponent of his or her intention to stop the fight in good faith. Besides, he or she must give the opponent a chance to stop the fight. On the other hand, the law does not apply in a circumstance where a person provokes another </w:t>
      </w:r>
      <w:r w:rsidR="00645842">
        <w:rPr>
          <w:rFonts w:asciiTheme="majorBidi" w:hAnsiTheme="majorBidi" w:cstheme="majorBidi"/>
          <w:sz w:val="24"/>
          <w:szCs w:val="24"/>
        </w:rPr>
        <w:t>party with the primary intention of getting into a fight.
</w:t>
      </w:r>
    </w:p>
    <w:p w:rsidR="00645842" w:rsidP="006A6EC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Finally, the law also covers the situation where an individual has to act in self-defense to protect his or her property, other than home, from malicious damage. </w:t>
      </w:r>
      <w:r w:rsidR="000303E8">
        <w:rPr>
          <w:rFonts w:asciiTheme="majorBidi" w:hAnsiTheme="majorBidi" w:cstheme="majorBidi"/>
          <w:sz w:val="24"/>
          <w:szCs w:val="24"/>
        </w:rPr>
        <w:t xml:space="preserve">However, the property owner is only permitted to use reasonable force while acting in protection. Reasonable forces refer to the proportionality based on the threat. </w:t>
      </w:r>
      <w:r w:rsidR="00441489">
        <w:rPr>
          <w:rFonts w:asciiTheme="majorBidi" w:hAnsiTheme="majorBidi" w:cstheme="majorBidi"/>
          <w:sz w:val="24"/>
          <w:szCs w:val="24"/>
        </w:rPr>
        <w:t xml:space="preserve">Nonetheless, the exact definition of reasonable force is a subject of debate in the court of law and the judge has the discretion </w:t>
      </w:r>
      <w:r w:rsidR="00DD4FAE">
        <w:rPr>
          <w:rFonts w:asciiTheme="majorBidi" w:hAnsiTheme="majorBidi" w:cstheme="majorBidi"/>
          <w:sz w:val="24"/>
          <w:szCs w:val="24"/>
        </w:rPr>
        <w:t xml:space="preserve">to determine. </w:t>
      </w:r>
    </w:p>
    <w:p w:rsidR="00DD4FAE" w:rsidP="006A6EC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most important part of the California self-defense law is sub-section one that deals with the "Castle Doctrine." Primarily, home is supposed to be the safest place for any individual </w:t>
      </w:r>
      <w:r w:rsidR="00140E97">
        <w:rPr>
          <w:rFonts w:asciiTheme="majorBidi" w:hAnsiTheme="majorBidi" w:cstheme="majorBidi"/>
          <w:sz w:val="24"/>
          <w:szCs w:val="24"/>
        </w:rPr>
        <w:t>hence he or she deserves to give it maximum protection. Conversely, homes also act in places where people are most vulnerable. The sense of security that a person gets when he or she ente</w:t>
      </w:r>
      <w:r w:rsidR="000A147B">
        <w:rPr>
          <w:rFonts w:asciiTheme="majorBidi" w:hAnsiTheme="majorBidi" w:cstheme="majorBidi"/>
          <w:sz w:val="24"/>
          <w:szCs w:val="24"/>
        </w:rPr>
        <w:t>rs his or her place of resident makes one relax on safety measures thus exposing them. Additionally, homes are enclosed private property resulting in limited access which increases the chances of an intruder to inflict maximum harm to the victim. Besides, an attack at home limits the chances of one raising an alarm or escaping from the intruder. Consequently, it is imperative for the law to grant individuals with leeway to protect themselves and their loved ones from potential harm occasioned by the unlawful intrusion.
</w:t>
      </w:r>
    </w:p>
    <w:p w:rsidR="00965BDD" w:rsidP="006A6ECD">
      <w:pPr>
        <w:spacing w:line="480" w:lineRule="auto"/>
        <w:ind w:firstLine="720"/>
        <w:rPr>
          <w:rFonts w:asciiTheme="majorBidi" w:hAnsiTheme="majorBidi" w:cstheme="majorBidi"/>
          <w:sz w:val="24"/>
          <w:szCs w:val="24"/>
        </w:rPr>
      </w:pPr>
      <w:r>
        <w:rPr>
          <w:rFonts w:asciiTheme="majorBidi" w:hAnsiTheme="majorBidi" w:cstheme="majorBidi"/>
          <w:sz w:val="24"/>
          <w:szCs w:val="24"/>
        </w:rPr>
        <w:t>The “Castle Doctrine”</w:t>
      </w:r>
      <w:r w:rsidR="00753D9F">
        <w:rPr>
          <w:rFonts w:asciiTheme="majorBidi" w:hAnsiTheme="majorBidi" w:cstheme="majorBidi"/>
          <w:sz w:val="24"/>
          <w:szCs w:val="24"/>
        </w:rPr>
        <w:t xml:space="preserve"> section of California's self-defense law is grounded on the fundamental human rights to security and privacy. Unauthorized access into a person's home borders on the violation of his or her rights to privacy. The </w:t>
      </w:r>
      <w:r w:rsidR="00B34BF5">
        <w:rPr>
          <w:rFonts w:asciiTheme="majorBidi" w:hAnsiTheme="majorBidi" w:cstheme="majorBidi"/>
          <w:sz w:val="24"/>
          <w:szCs w:val="24"/>
        </w:rPr>
        <w:t>Fourth Amendment recognizes privacy as one of the primary human rights that US citizens are entitled</w:t>
      </w:r>
      <w:sdt>
        <w:sdtPr>
          <w:rPr>
            <w:rFonts w:asciiTheme="majorBidi" w:hAnsiTheme="majorBidi" w:cstheme="majorBidi"/>
            <w:sz w:val="24"/>
            <w:szCs w:val="24"/>
          </w:rPr>
          <w:id w:val="-388337291"/>
          <w:citation/>
        </w:sdtPr>
        <w:sdtContent>
          <w:r w:rsidR="00634107">
            <w:rPr>
              <w:rFonts w:asciiTheme="majorBidi" w:hAnsiTheme="majorBidi" w:cstheme="majorBidi"/>
              <w:sz w:val="24"/>
              <w:szCs w:val="24"/>
            </w:rPr>
            <w:fldChar w:fldCharType="begin"/>
          </w:r>
          <w:r w:rsidR="00634107">
            <w:rPr>
              <w:rFonts w:asciiTheme="majorBidi" w:hAnsiTheme="majorBidi" w:cstheme="majorBidi"/>
              <w:sz w:val="24"/>
              <w:szCs w:val="24"/>
            </w:rPr>
            <w:instrText xml:space="preserve"> CITATION Tok16 \l 1033 </w:instrText>
          </w:r>
          <w:r w:rsidR="00634107">
            <w:rPr>
              <w:rFonts w:asciiTheme="majorBidi" w:hAnsiTheme="majorBidi" w:cstheme="majorBidi"/>
              <w:sz w:val="24"/>
              <w:szCs w:val="24"/>
            </w:rPr>
            <w:fldChar w:fldCharType="separate"/>
          </w:r>
          <w:r w:rsidR="00634107">
            <w:rPr>
              <w:rFonts w:asciiTheme="majorBidi" w:hAnsiTheme="majorBidi" w:cstheme="majorBidi"/>
              <w:noProof/>
              <w:sz w:val="24"/>
              <w:szCs w:val="24"/>
            </w:rPr>
            <w:t xml:space="preserve"> </w:t>
          </w:r>
          <w:r w:rsidRPr="00634107" w:rsidR="00634107">
            <w:rPr>
              <w:rFonts w:asciiTheme="majorBidi" w:hAnsiTheme="majorBidi" w:cstheme="majorBidi"/>
              <w:noProof/>
              <w:sz w:val="24"/>
              <w:szCs w:val="24"/>
            </w:rPr>
            <w:t>(Tokson, 2016)</w:t>
          </w:r>
          <w:r w:rsidR="00634107">
            <w:rPr>
              <w:rFonts w:asciiTheme="majorBidi" w:hAnsiTheme="majorBidi" w:cstheme="majorBidi"/>
              <w:sz w:val="24"/>
              <w:szCs w:val="24"/>
            </w:rPr>
            <w:fldChar w:fldCharType="end"/>
          </w:r>
        </w:sdtContent>
      </w:sdt>
      <w:r w:rsidR="00B34BF5">
        <w:rPr>
          <w:rFonts w:asciiTheme="majorBidi" w:hAnsiTheme="majorBidi" w:cstheme="majorBidi"/>
          <w:sz w:val="24"/>
          <w:szCs w:val="24"/>
        </w:rPr>
        <w:t xml:space="preserve">. Rights to privacy as described in the constitution include but not limited access to personal electronic information, property, and place of residence. In fact, the law requires that the police officers or any other law enforcing agency </w:t>
      </w:r>
      <w:r w:rsidR="003D7DE9">
        <w:rPr>
          <w:rFonts w:asciiTheme="majorBidi" w:hAnsiTheme="majorBidi" w:cstheme="majorBidi"/>
          <w:sz w:val="24"/>
          <w:szCs w:val="24"/>
        </w:rPr>
        <w:t xml:space="preserve">to produce search warrant before gaining access to private property. </w:t>
      </w:r>
      <w:r>
        <w:rPr>
          <w:rFonts w:asciiTheme="majorBidi" w:hAnsiTheme="majorBidi" w:cstheme="majorBidi"/>
          <w:sz w:val="24"/>
          <w:szCs w:val="24"/>
        </w:rPr>
        <w:t>Similarly, a private citizen needs prior approval moving into a restricted private place like homes. 
</w:t>
      </w:r>
    </w:p>
    <w:p w:rsidR="000A147B" w:rsidP="00965BD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Unauthorized access to an individual resident not only violates his or her rights to privacy but also exposes her or him to possible harm. As a result, the person should be entitled to fight back and protect his or her territory. For example, the government has the rights to protect its borders using lethal force from an external aggressor. The borderlines define its territory which is its primary obligation to protect. Similarly, individual view homes as the personal territories thus deserve the right to protect it all cost. However, the nature of the </w:t>
      </w:r>
      <w:r>
        <w:rPr>
          <w:rFonts w:asciiTheme="majorBidi" w:hAnsiTheme="majorBidi" w:cstheme="majorBidi"/>
          <w:sz w:val="24"/>
          <w:szCs w:val="24"/>
        </w:rPr>
        <w:t xml:space="preserve">force used in the protection process must </w:t>
      </w:r>
      <w:r w:rsidR="0002398B">
        <w:rPr>
          <w:rFonts w:asciiTheme="majorBidi" w:hAnsiTheme="majorBidi" w:cstheme="majorBidi"/>
          <w:sz w:val="24"/>
          <w:szCs w:val="24"/>
        </w:rPr>
        <w:t xml:space="preserve">be proportional to the threat presented by the intruder. </w:t>
      </w:r>
    </w:p>
    <w:p w:rsidR="0002398B" w:rsidP="00965BD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first section of California's self-defense covers the </w:t>
      </w:r>
      <w:r w:rsidR="008F2A76">
        <w:rPr>
          <w:rFonts w:asciiTheme="majorBidi" w:hAnsiTheme="majorBidi" w:cstheme="majorBidi"/>
          <w:sz w:val="24"/>
          <w:szCs w:val="24"/>
        </w:rPr>
        <w:t xml:space="preserve">right to protect one’s home comprehensively. Besides, it appreciates that some individuals might use the constitutional leeway to fight back as grounds to apply disproportionate force to the </w:t>
      </w:r>
      <w:r w:rsidR="008A5A8E">
        <w:rPr>
          <w:rFonts w:asciiTheme="majorBidi" w:hAnsiTheme="majorBidi" w:cstheme="majorBidi"/>
          <w:sz w:val="24"/>
          <w:szCs w:val="24"/>
        </w:rPr>
        <w:t xml:space="preserve">intruders thus causing unimaginable harm or even death. Thus, the section emphasizes the needs to use proportionate force in protecting one's "castle" from attack. However, there is no clear definition of what constitutes "reasonable force." Nonetheless, the </w:t>
      </w:r>
      <w:r w:rsidR="009F1037">
        <w:rPr>
          <w:rFonts w:asciiTheme="majorBidi" w:hAnsiTheme="majorBidi" w:cstheme="majorBidi"/>
          <w:sz w:val="24"/>
          <w:szCs w:val="24"/>
        </w:rPr>
        <w:t>sub-</w:t>
      </w:r>
      <w:r w:rsidR="008A5A8E">
        <w:rPr>
          <w:rFonts w:asciiTheme="majorBidi" w:hAnsiTheme="majorBidi" w:cstheme="majorBidi"/>
          <w:sz w:val="24"/>
          <w:szCs w:val="24"/>
        </w:rPr>
        <w:t xml:space="preserve">section </w:t>
      </w:r>
      <w:r w:rsidR="009F1037">
        <w:rPr>
          <w:rFonts w:asciiTheme="majorBidi" w:hAnsiTheme="majorBidi" w:cstheme="majorBidi"/>
          <w:sz w:val="24"/>
          <w:szCs w:val="24"/>
        </w:rPr>
        <w:t xml:space="preserve">remains the most important part of the entire Section 198.5 of California’s Penal Code. It protects the inalienable rights to privacy and safety. </w:t>
      </w:r>
    </w:p>
    <w:p w:rsidR="00D57A3B" w:rsidP="00965BD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Currently, there has never been any application before the district or federal courts to challenge the constitutionality of California's self-defense law. However, the courts have handled various applications in relation to the law which have a direct implication on its application. For instance, the publicized case </w:t>
      </w:r>
      <w:r w:rsidR="0082130F">
        <w:rPr>
          <w:rFonts w:asciiTheme="majorBidi" w:hAnsiTheme="majorBidi" w:cstheme="majorBidi"/>
          <w:sz w:val="24"/>
          <w:szCs w:val="24"/>
        </w:rPr>
        <w:t xml:space="preserve">involving George Zimmerman and Martin Trayvon. In the case, George Zimmerman was accused of killing unarmed Martin Trayvon after a small fight. George, in his defense, claimed he acted in self-defense. The case raised the issue on the application of "reasonable force" </w:t>
      </w:r>
      <w:r w:rsidR="006C3E66">
        <w:rPr>
          <w:rFonts w:asciiTheme="majorBidi" w:hAnsiTheme="majorBidi" w:cstheme="majorBidi"/>
          <w:sz w:val="24"/>
          <w:szCs w:val="24"/>
        </w:rPr>
        <w:t>in self-defense</w:t>
      </w:r>
      <w:sdt>
        <w:sdtPr>
          <w:rPr>
            <w:rFonts w:asciiTheme="majorBidi" w:hAnsiTheme="majorBidi" w:cstheme="majorBidi"/>
            <w:sz w:val="24"/>
            <w:szCs w:val="24"/>
          </w:rPr>
          <w:id w:val="-1057780217"/>
          <w:citation/>
        </w:sdtPr>
        <w:sdtContent>
          <w:r w:rsidR="00634107">
            <w:rPr>
              <w:rFonts w:asciiTheme="majorBidi" w:hAnsiTheme="majorBidi" w:cstheme="majorBidi"/>
              <w:sz w:val="24"/>
              <w:szCs w:val="24"/>
            </w:rPr>
            <w:fldChar w:fldCharType="begin"/>
          </w:r>
          <w:r w:rsidR="00634107">
            <w:rPr>
              <w:rFonts w:asciiTheme="majorBidi" w:hAnsiTheme="majorBidi" w:cstheme="majorBidi"/>
              <w:sz w:val="24"/>
              <w:szCs w:val="24"/>
            </w:rPr>
            <w:instrText xml:space="preserve"> CITATION Alv13 \l 1033 </w:instrText>
          </w:r>
          <w:r w:rsidR="00634107">
            <w:rPr>
              <w:rFonts w:asciiTheme="majorBidi" w:hAnsiTheme="majorBidi" w:cstheme="majorBidi"/>
              <w:sz w:val="24"/>
              <w:szCs w:val="24"/>
            </w:rPr>
            <w:fldChar w:fldCharType="separate"/>
          </w:r>
          <w:r w:rsidR="00634107">
            <w:rPr>
              <w:rFonts w:asciiTheme="majorBidi" w:hAnsiTheme="majorBidi" w:cstheme="majorBidi"/>
              <w:noProof/>
              <w:sz w:val="24"/>
              <w:szCs w:val="24"/>
            </w:rPr>
            <w:t xml:space="preserve"> </w:t>
          </w:r>
          <w:r w:rsidRPr="00634107" w:rsidR="00634107">
            <w:rPr>
              <w:rFonts w:asciiTheme="majorBidi" w:hAnsiTheme="majorBidi" w:cstheme="majorBidi"/>
              <w:noProof/>
              <w:sz w:val="24"/>
              <w:szCs w:val="24"/>
            </w:rPr>
            <w:t>(Alvarez &amp; Buckley, 2013)</w:t>
          </w:r>
          <w:r w:rsidR="00634107">
            <w:rPr>
              <w:rFonts w:asciiTheme="majorBidi" w:hAnsiTheme="majorBidi" w:cstheme="majorBidi"/>
              <w:sz w:val="24"/>
              <w:szCs w:val="24"/>
            </w:rPr>
            <w:fldChar w:fldCharType="end"/>
          </w:r>
        </w:sdtContent>
      </w:sdt>
      <w:r w:rsidR="006C3E66">
        <w:rPr>
          <w:rFonts w:asciiTheme="majorBidi" w:hAnsiTheme="majorBidi" w:cstheme="majorBidi"/>
          <w:sz w:val="24"/>
          <w:szCs w:val="24"/>
        </w:rPr>
        <w:t xml:space="preserve">. However, the judge in the case acquitted </w:t>
      </w:r>
      <w:r w:rsidR="00FF79EE">
        <w:rPr>
          <w:rFonts w:asciiTheme="majorBidi" w:hAnsiTheme="majorBidi" w:cstheme="majorBidi"/>
          <w:sz w:val="24"/>
          <w:szCs w:val="24"/>
        </w:rPr>
        <w:t>George Zimmerman of any of wrongdoing</w:t>
      </w:r>
      <w:sdt>
        <w:sdtPr>
          <w:rPr>
            <w:rFonts w:asciiTheme="majorBidi" w:hAnsiTheme="majorBidi" w:cstheme="majorBidi"/>
            <w:sz w:val="24"/>
            <w:szCs w:val="24"/>
          </w:rPr>
          <w:id w:val="-768694989"/>
          <w:citation/>
        </w:sdtPr>
        <w:sdtContent>
          <w:r w:rsidR="00634107">
            <w:rPr>
              <w:rFonts w:asciiTheme="majorBidi" w:hAnsiTheme="majorBidi" w:cstheme="majorBidi"/>
              <w:sz w:val="24"/>
              <w:szCs w:val="24"/>
            </w:rPr>
            <w:fldChar w:fldCharType="begin"/>
          </w:r>
          <w:r w:rsidR="00634107">
            <w:rPr>
              <w:rFonts w:asciiTheme="majorBidi" w:hAnsiTheme="majorBidi" w:cstheme="majorBidi"/>
              <w:sz w:val="24"/>
              <w:szCs w:val="24"/>
            </w:rPr>
            <w:instrText xml:space="preserve"> CITATION Alv13 \l 1033 </w:instrText>
          </w:r>
          <w:r w:rsidR="00634107">
            <w:rPr>
              <w:rFonts w:asciiTheme="majorBidi" w:hAnsiTheme="majorBidi" w:cstheme="majorBidi"/>
              <w:sz w:val="24"/>
              <w:szCs w:val="24"/>
            </w:rPr>
            <w:fldChar w:fldCharType="separate"/>
          </w:r>
          <w:r w:rsidR="00634107">
            <w:rPr>
              <w:rFonts w:asciiTheme="majorBidi" w:hAnsiTheme="majorBidi" w:cstheme="majorBidi"/>
              <w:noProof/>
              <w:sz w:val="24"/>
              <w:szCs w:val="24"/>
            </w:rPr>
            <w:t xml:space="preserve"> </w:t>
          </w:r>
          <w:r w:rsidRPr="00634107" w:rsidR="00634107">
            <w:rPr>
              <w:rFonts w:asciiTheme="majorBidi" w:hAnsiTheme="majorBidi" w:cstheme="majorBidi"/>
              <w:noProof/>
              <w:sz w:val="24"/>
              <w:szCs w:val="24"/>
            </w:rPr>
            <w:t>(Alvarez &amp; Buckley, 2013)</w:t>
          </w:r>
          <w:r w:rsidR="00634107">
            <w:rPr>
              <w:rFonts w:asciiTheme="majorBidi" w:hAnsiTheme="majorBidi" w:cstheme="majorBidi"/>
              <w:sz w:val="24"/>
              <w:szCs w:val="24"/>
            </w:rPr>
            <w:fldChar w:fldCharType="end"/>
          </w:r>
        </w:sdtContent>
      </w:sdt>
      <w:r w:rsidR="00FF79EE">
        <w:rPr>
          <w:rFonts w:asciiTheme="majorBidi" w:hAnsiTheme="majorBidi" w:cstheme="majorBidi"/>
          <w:sz w:val="24"/>
          <w:szCs w:val="24"/>
        </w:rPr>
        <w:t>. The case raised heated debate on the implication of stand your ground laws in the country. Nevertheless, California self-defense law still enjoys significant support from the public and is yet face any challenge before the district or federal courts.
</w:t>
      </w:r>
    </w:p>
    <w:p w:rsidR="00FF79EE" w:rsidP="00D713C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Supreme Court of the United States has expressed its opinion on various cases touching on stand your ground laws brought before it. </w:t>
      </w:r>
      <w:r w:rsidR="00CC4209">
        <w:rPr>
          <w:rFonts w:asciiTheme="majorBidi" w:hAnsiTheme="majorBidi" w:cstheme="majorBidi"/>
          <w:sz w:val="24"/>
          <w:szCs w:val="24"/>
        </w:rPr>
        <w:t xml:space="preserve">For example, in the case </w:t>
      </w:r>
      <w:r w:rsidRPr="00D713C6" w:rsidR="0004593B">
        <w:rPr>
          <w:rFonts w:asciiTheme="majorBidi" w:hAnsiTheme="majorBidi" w:cstheme="majorBidi"/>
          <w:i/>
          <w:iCs/>
          <w:sz w:val="24"/>
          <w:szCs w:val="24"/>
        </w:rPr>
        <w:t>Brown v. United States</w:t>
      </w:r>
      <w:r w:rsidR="0004593B">
        <w:rPr>
          <w:rFonts w:asciiTheme="majorBidi" w:hAnsiTheme="majorBidi" w:cstheme="majorBidi"/>
          <w:sz w:val="24"/>
          <w:szCs w:val="24"/>
        </w:rPr>
        <w:t xml:space="preserve"> (1921) </w:t>
      </w:r>
      <w:r w:rsidR="00D713C6">
        <w:rPr>
          <w:rFonts w:asciiTheme="majorBidi" w:hAnsiTheme="majorBidi" w:cstheme="majorBidi"/>
          <w:sz w:val="24"/>
          <w:szCs w:val="24"/>
        </w:rPr>
        <w:t xml:space="preserve">the court reversed the decision by </w:t>
      </w:r>
      <w:r w:rsidR="00BD6D8D">
        <w:rPr>
          <w:rFonts w:asciiTheme="majorBidi" w:hAnsiTheme="majorBidi" w:cstheme="majorBidi"/>
          <w:sz w:val="24"/>
          <w:szCs w:val="24"/>
        </w:rPr>
        <w:t xml:space="preserve">Appellate Court to convict the </w:t>
      </w:r>
      <w:r w:rsidR="00BD6D8D">
        <w:rPr>
          <w:rFonts w:asciiTheme="majorBidi" w:hAnsiTheme="majorBidi" w:cstheme="majorBidi"/>
          <w:sz w:val="24"/>
          <w:szCs w:val="24"/>
        </w:rPr>
        <w:t>petitioner of second-degree murder. The petitioner was convicted by the Court of Appeal after the state proved that he acted beyond the confines of the self-defense law by killing Hermist. The government attorney in the case argued that the petitioner used disproportionate force in the process of defending himself. However, the Supreme Court found loopholes in the Appellate Court’s ruling and argued that the</w:t>
      </w:r>
      <w:r w:rsidR="00382378">
        <w:rPr>
          <w:rFonts w:asciiTheme="majorBidi" w:hAnsiTheme="majorBidi" w:cstheme="majorBidi"/>
          <w:sz w:val="24"/>
          <w:szCs w:val="24"/>
        </w:rPr>
        <w:t xml:space="preserve"> court erred in convicting the petitioner. The ruling in a case formed a precedent for future cases and defined the application of stand your ground in incidents outside one's "castle."
</w:t>
      </w:r>
    </w:p>
    <w:p w:rsidR="00382378" w:rsidP="00D713C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roles of the United States' Congress is outlined Article One of the country's constitution. Section 8 of the constitution limits the legislative role of Congress on issues that impact </w:t>
      </w:r>
      <w:r w:rsidR="00E038C0">
        <w:rPr>
          <w:rFonts w:asciiTheme="majorBidi" w:hAnsiTheme="majorBidi" w:cstheme="majorBidi"/>
          <w:sz w:val="24"/>
          <w:szCs w:val="24"/>
        </w:rPr>
        <w:t>the operation of the federal government</w:t>
      </w:r>
      <w:sdt>
        <w:sdtPr>
          <w:rPr>
            <w:rFonts w:asciiTheme="majorBidi" w:hAnsiTheme="majorBidi" w:cstheme="majorBidi"/>
            <w:sz w:val="24"/>
            <w:szCs w:val="24"/>
          </w:rPr>
          <w:id w:val="-1498718886"/>
          <w:citation/>
        </w:sdtPr>
        <w:sdtContent>
          <w:r w:rsidR="008D71C5">
            <w:rPr>
              <w:rFonts w:asciiTheme="majorBidi" w:hAnsiTheme="majorBidi" w:cstheme="majorBidi"/>
              <w:sz w:val="24"/>
              <w:szCs w:val="24"/>
            </w:rPr>
            <w:fldChar w:fldCharType="begin"/>
          </w:r>
          <w:r w:rsidR="008D71C5">
            <w:rPr>
              <w:rFonts w:asciiTheme="majorBidi" w:hAnsiTheme="majorBidi" w:cstheme="majorBidi"/>
              <w:sz w:val="24"/>
              <w:szCs w:val="24"/>
            </w:rPr>
            <w:instrText xml:space="preserve"> CITATION Rie18 \l 1033 </w:instrText>
          </w:r>
          <w:r w:rsidR="008D71C5">
            <w:rPr>
              <w:rFonts w:asciiTheme="majorBidi" w:hAnsiTheme="majorBidi" w:cstheme="majorBidi"/>
              <w:sz w:val="24"/>
              <w:szCs w:val="24"/>
            </w:rPr>
            <w:fldChar w:fldCharType="separate"/>
          </w:r>
          <w:r w:rsidR="008D71C5">
            <w:rPr>
              <w:rFonts w:asciiTheme="majorBidi" w:hAnsiTheme="majorBidi" w:cstheme="majorBidi"/>
              <w:noProof/>
              <w:sz w:val="24"/>
              <w:szCs w:val="24"/>
            </w:rPr>
            <w:t xml:space="preserve"> </w:t>
          </w:r>
          <w:r w:rsidRPr="008D71C5" w:rsidR="008D71C5">
            <w:rPr>
              <w:rFonts w:asciiTheme="majorBidi" w:hAnsiTheme="majorBidi" w:cstheme="majorBidi"/>
              <w:noProof/>
              <w:sz w:val="24"/>
              <w:szCs w:val="24"/>
            </w:rPr>
            <w:t>(Leroy, 2018)</w:t>
          </w:r>
          <w:r w:rsidR="008D71C5">
            <w:rPr>
              <w:rFonts w:asciiTheme="majorBidi" w:hAnsiTheme="majorBidi" w:cstheme="majorBidi"/>
              <w:sz w:val="24"/>
              <w:szCs w:val="24"/>
            </w:rPr>
            <w:fldChar w:fldCharType="end"/>
          </w:r>
        </w:sdtContent>
      </w:sdt>
      <w:r w:rsidR="00E038C0">
        <w:rPr>
          <w:rFonts w:asciiTheme="majorBidi" w:hAnsiTheme="majorBidi" w:cstheme="majorBidi"/>
          <w:sz w:val="24"/>
          <w:szCs w:val="24"/>
        </w:rPr>
        <w:t>. For instance, Congress has legislative roles on improving the country's internal security, declare war, and federal fiscal policy among</w:t>
      </w:r>
      <w:sdt>
        <w:sdtPr>
          <w:rPr>
            <w:rFonts w:asciiTheme="majorBidi" w:hAnsiTheme="majorBidi" w:cstheme="majorBidi"/>
            <w:sz w:val="24"/>
            <w:szCs w:val="24"/>
          </w:rPr>
          <w:id w:val="638077601"/>
          <w:citation/>
        </w:sdtPr>
        <w:sdtContent>
          <w:r w:rsidR="008D71C5">
            <w:rPr>
              <w:rFonts w:asciiTheme="majorBidi" w:hAnsiTheme="majorBidi" w:cstheme="majorBidi"/>
              <w:sz w:val="24"/>
              <w:szCs w:val="24"/>
            </w:rPr>
            <w:fldChar w:fldCharType="begin"/>
          </w:r>
          <w:r w:rsidR="008D71C5">
            <w:rPr>
              <w:rFonts w:asciiTheme="majorBidi" w:hAnsiTheme="majorBidi" w:cstheme="majorBidi"/>
              <w:sz w:val="24"/>
              <w:szCs w:val="24"/>
            </w:rPr>
            <w:instrText xml:space="preserve"> CITATION Rie18 \l 1033 </w:instrText>
          </w:r>
          <w:r w:rsidR="008D71C5">
            <w:rPr>
              <w:rFonts w:asciiTheme="majorBidi" w:hAnsiTheme="majorBidi" w:cstheme="majorBidi"/>
              <w:sz w:val="24"/>
              <w:szCs w:val="24"/>
            </w:rPr>
            <w:fldChar w:fldCharType="separate"/>
          </w:r>
          <w:r w:rsidR="008D71C5">
            <w:rPr>
              <w:rFonts w:asciiTheme="majorBidi" w:hAnsiTheme="majorBidi" w:cstheme="majorBidi"/>
              <w:noProof/>
              <w:sz w:val="24"/>
              <w:szCs w:val="24"/>
            </w:rPr>
            <w:t xml:space="preserve"> </w:t>
          </w:r>
          <w:r w:rsidRPr="008D71C5" w:rsidR="008D71C5">
            <w:rPr>
              <w:rFonts w:asciiTheme="majorBidi" w:hAnsiTheme="majorBidi" w:cstheme="majorBidi"/>
              <w:noProof/>
              <w:sz w:val="24"/>
              <w:szCs w:val="24"/>
            </w:rPr>
            <w:t>(Leroy, 2018)</w:t>
          </w:r>
          <w:r w:rsidR="008D71C5">
            <w:rPr>
              <w:rFonts w:asciiTheme="majorBidi" w:hAnsiTheme="majorBidi" w:cstheme="majorBidi"/>
              <w:sz w:val="24"/>
              <w:szCs w:val="24"/>
            </w:rPr>
            <w:fldChar w:fldCharType="end"/>
          </w:r>
        </w:sdtContent>
      </w:sdt>
      <w:r w:rsidR="00E038C0">
        <w:rPr>
          <w:rFonts w:asciiTheme="majorBidi" w:hAnsiTheme="majorBidi" w:cstheme="majorBidi"/>
          <w:sz w:val="24"/>
          <w:szCs w:val="24"/>
        </w:rPr>
        <w:t xml:space="preserve"> others. However, it does not have powers to legislate on issues that impact the operation of state governments. </w:t>
      </w:r>
    </w:p>
    <w:p w:rsidR="00E147B1" w:rsidP="008D71C5">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provision of Section Eight of Article One of the constitution </w:t>
      </w:r>
      <w:r w:rsidR="001F30AF">
        <w:rPr>
          <w:rFonts w:asciiTheme="majorBidi" w:hAnsiTheme="majorBidi" w:cstheme="majorBidi"/>
          <w:sz w:val="24"/>
          <w:szCs w:val="24"/>
        </w:rPr>
        <w:t xml:space="preserve">leaves out the legislation on issues like rights to self-defense. Consequently, Congress does not have the legislative authority to develop laws governing the implementation of </w:t>
      </w:r>
      <w:r w:rsidR="001B0E79">
        <w:rPr>
          <w:rFonts w:asciiTheme="majorBidi" w:hAnsiTheme="majorBidi" w:cstheme="majorBidi"/>
          <w:sz w:val="24"/>
          <w:szCs w:val="24"/>
        </w:rPr>
        <w:t xml:space="preserve">security measures within states. In other words, any legislation on “stand your ground” laws borders on unconstitutionality and cannot stand or implemented by the state government. </w:t>
      </w:r>
    </w:p>
    <w:p w:rsidR="00235A92" w:rsidP="00235A92">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self-defense laws have generated heated debate with both the proponents and opponents presenting various issues touching on its constitutionality. For example, the support of the stand your ground law argues that it is in accordance with the constitution by ensuring individuals feel safe. </w:t>
      </w:r>
      <w:r w:rsidR="007765E7">
        <w:rPr>
          <w:rFonts w:asciiTheme="majorBidi" w:hAnsiTheme="majorBidi" w:cstheme="majorBidi"/>
          <w:sz w:val="24"/>
          <w:szCs w:val="24"/>
        </w:rPr>
        <w:t xml:space="preserve">National </w:t>
      </w:r>
      <w:r w:rsidR="001E33F5">
        <w:rPr>
          <w:rFonts w:asciiTheme="majorBidi" w:hAnsiTheme="majorBidi" w:cstheme="majorBidi"/>
          <w:sz w:val="24"/>
          <w:szCs w:val="24"/>
        </w:rPr>
        <w:t xml:space="preserve">Rifle Association </w:t>
      </w:r>
      <w:r w:rsidR="00DF285C">
        <w:rPr>
          <w:rFonts w:asciiTheme="majorBidi" w:hAnsiTheme="majorBidi" w:cstheme="majorBidi"/>
          <w:sz w:val="24"/>
          <w:szCs w:val="24"/>
        </w:rPr>
        <w:t xml:space="preserve">(NRA) is one of the big supporters for stand your ground laws and claims that it provides the individual with the opportunity to live in a safe environment. Privacy and safety </w:t>
      </w:r>
      <w:r w:rsidR="00912755">
        <w:rPr>
          <w:rFonts w:asciiTheme="majorBidi" w:hAnsiTheme="majorBidi" w:cstheme="majorBidi"/>
          <w:sz w:val="24"/>
          <w:szCs w:val="24"/>
        </w:rPr>
        <w:t xml:space="preserve">are parts of the fundamental human rights outlined </w:t>
      </w:r>
      <w:r w:rsidR="00912755">
        <w:rPr>
          <w:rFonts w:asciiTheme="majorBidi" w:hAnsiTheme="majorBidi" w:cstheme="majorBidi"/>
          <w:sz w:val="24"/>
          <w:szCs w:val="24"/>
        </w:rPr>
        <w:t xml:space="preserve">in the </w:t>
      </w:r>
      <w:r>
        <w:rPr>
          <w:rFonts w:asciiTheme="majorBidi" w:hAnsiTheme="majorBidi" w:cstheme="majorBidi"/>
          <w:sz w:val="24"/>
          <w:szCs w:val="24"/>
        </w:rPr>
        <w:t>country's bill of rights. However, the stand your ground laws appear to raise fundamental constitutional issues that need an immediate address. 
</w:t>
      </w:r>
    </w:p>
    <w:p w:rsidR="00B7731B" w:rsidP="008D71C5">
      <w:pPr>
        <w:spacing w:line="480" w:lineRule="auto"/>
        <w:ind w:firstLine="720"/>
        <w:rPr>
          <w:rFonts w:asciiTheme="majorBidi" w:hAnsiTheme="majorBidi" w:cstheme="majorBidi"/>
          <w:sz w:val="24"/>
          <w:szCs w:val="24"/>
        </w:rPr>
      </w:pPr>
      <w:r>
        <w:rPr>
          <w:rFonts w:asciiTheme="majorBidi" w:hAnsiTheme="majorBidi" w:cstheme="majorBidi"/>
          <w:sz w:val="24"/>
          <w:szCs w:val="24"/>
        </w:rPr>
        <w:t>Firstly, the self-defense law in California grants individuals to use lethal force under the “</w:t>
      </w:r>
      <w:r w:rsidR="00932C4B">
        <w:rPr>
          <w:rFonts w:asciiTheme="majorBidi" w:hAnsiTheme="majorBidi" w:cstheme="majorBidi"/>
          <w:sz w:val="24"/>
          <w:szCs w:val="24"/>
        </w:rPr>
        <w:t xml:space="preserve">Castle Doctrine" which raises vital issues on the rights of others. Currently, the law allows individuals to determine the level of the potential threat and acts appropriately including causing harm or death to the intruder. The current provision is a subject of misuse that has resulted in an unwarranted loss of lives and injuries to "innocent" civilians. The United States is the leading country when it comes to gun control laws </w:t>
      </w:r>
      <w:r w:rsidR="005945DC">
        <w:rPr>
          <w:rFonts w:asciiTheme="majorBidi" w:hAnsiTheme="majorBidi" w:cstheme="majorBidi"/>
          <w:sz w:val="24"/>
          <w:szCs w:val="24"/>
        </w:rPr>
        <w:t>making them one of the preferred weapons for self-defense. Individuals resort to using their guns to defend themselves even in circumstances that do not warrant the use of lethal force. 
</w:t>
      </w:r>
    </w:p>
    <w:p w:rsidR="005945DC" w:rsidP="00B7731B">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Besides, the provision positively contributes to the cases of racial profiling where the African-American communities are the most affected. </w:t>
      </w:r>
      <w:r w:rsidR="00B7731B">
        <w:rPr>
          <w:rFonts w:asciiTheme="majorBidi" w:hAnsiTheme="majorBidi" w:cstheme="majorBidi"/>
          <w:sz w:val="24"/>
          <w:szCs w:val="24"/>
        </w:rPr>
        <w:t>The African-American community is perhaps the most disadvantaged group in American society considering they form the majority of victims of violence</w:t>
      </w:r>
      <w:sdt>
        <w:sdtPr>
          <w:rPr>
            <w:rFonts w:asciiTheme="majorBidi" w:hAnsiTheme="majorBidi" w:cstheme="majorBidi"/>
            <w:sz w:val="24"/>
            <w:szCs w:val="24"/>
          </w:rPr>
          <w:id w:val="-1474056905"/>
          <w:citation/>
        </w:sdtPr>
        <w:sdtContent>
          <w:r w:rsidR="008D71C5">
            <w:rPr>
              <w:rFonts w:asciiTheme="majorBidi" w:hAnsiTheme="majorBidi" w:cstheme="majorBidi"/>
              <w:sz w:val="24"/>
              <w:szCs w:val="24"/>
            </w:rPr>
            <w:fldChar w:fldCharType="begin"/>
          </w:r>
          <w:r w:rsidR="008D71C5">
            <w:rPr>
              <w:rFonts w:asciiTheme="majorBidi" w:hAnsiTheme="majorBidi" w:cstheme="majorBidi"/>
              <w:sz w:val="24"/>
              <w:szCs w:val="24"/>
            </w:rPr>
            <w:instrText xml:space="preserve"> CITATION Rom13 \l 1033 </w:instrText>
          </w:r>
          <w:r w:rsidR="008D71C5">
            <w:rPr>
              <w:rFonts w:asciiTheme="majorBidi" w:hAnsiTheme="majorBidi" w:cstheme="majorBidi"/>
              <w:sz w:val="24"/>
              <w:szCs w:val="24"/>
            </w:rPr>
            <w:fldChar w:fldCharType="separate"/>
          </w:r>
          <w:r w:rsidR="008D71C5">
            <w:rPr>
              <w:rFonts w:asciiTheme="majorBidi" w:hAnsiTheme="majorBidi" w:cstheme="majorBidi"/>
              <w:noProof/>
              <w:sz w:val="24"/>
              <w:szCs w:val="24"/>
            </w:rPr>
            <w:t xml:space="preserve"> </w:t>
          </w:r>
          <w:r w:rsidRPr="008D71C5" w:rsidR="008D71C5">
            <w:rPr>
              <w:rFonts w:asciiTheme="majorBidi" w:hAnsiTheme="majorBidi" w:cstheme="majorBidi"/>
              <w:noProof/>
              <w:sz w:val="24"/>
              <w:szCs w:val="24"/>
            </w:rPr>
            <w:t>(John, 2013)</w:t>
          </w:r>
          <w:r w:rsidR="008D71C5">
            <w:rPr>
              <w:rFonts w:asciiTheme="majorBidi" w:hAnsiTheme="majorBidi" w:cstheme="majorBidi"/>
              <w:sz w:val="24"/>
              <w:szCs w:val="24"/>
            </w:rPr>
            <w:fldChar w:fldCharType="end"/>
          </w:r>
        </w:sdtContent>
      </w:sdt>
      <w:r w:rsidR="00B7731B">
        <w:rPr>
          <w:rFonts w:asciiTheme="majorBidi" w:hAnsiTheme="majorBidi" w:cstheme="majorBidi"/>
          <w:sz w:val="24"/>
          <w:szCs w:val="24"/>
        </w:rPr>
        <w:t>. News outlets have reported various incidents where individuals have used disproportionate force leading injury or even death in a situation less threatening. For example, the killing of Martin Trayvon by George Zimmerman was viewed as racial profiling considering the latter used unreasonable force to kill unarmed teenager</w:t>
      </w:r>
      <w:sdt>
        <w:sdtPr>
          <w:rPr>
            <w:rFonts w:asciiTheme="majorBidi" w:hAnsiTheme="majorBidi" w:cstheme="majorBidi"/>
            <w:sz w:val="24"/>
            <w:szCs w:val="24"/>
          </w:rPr>
          <w:id w:val="537391957"/>
          <w:citation/>
        </w:sdtPr>
        <w:sdtContent>
          <w:r w:rsidR="008D71C5">
            <w:rPr>
              <w:rFonts w:asciiTheme="majorBidi" w:hAnsiTheme="majorBidi" w:cstheme="majorBidi"/>
              <w:sz w:val="24"/>
              <w:szCs w:val="24"/>
            </w:rPr>
            <w:fldChar w:fldCharType="begin"/>
          </w:r>
          <w:r w:rsidR="008D71C5">
            <w:rPr>
              <w:rFonts w:asciiTheme="majorBidi" w:hAnsiTheme="majorBidi" w:cstheme="majorBidi"/>
              <w:sz w:val="24"/>
              <w:szCs w:val="24"/>
            </w:rPr>
            <w:instrText xml:space="preserve"> CITATION Alv13 \l 1033 </w:instrText>
          </w:r>
          <w:r w:rsidR="008D71C5">
            <w:rPr>
              <w:rFonts w:asciiTheme="majorBidi" w:hAnsiTheme="majorBidi" w:cstheme="majorBidi"/>
              <w:sz w:val="24"/>
              <w:szCs w:val="24"/>
            </w:rPr>
            <w:fldChar w:fldCharType="separate"/>
          </w:r>
          <w:r w:rsidR="008D71C5">
            <w:rPr>
              <w:rFonts w:asciiTheme="majorBidi" w:hAnsiTheme="majorBidi" w:cstheme="majorBidi"/>
              <w:noProof/>
              <w:sz w:val="24"/>
              <w:szCs w:val="24"/>
            </w:rPr>
            <w:t xml:space="preserve"> </w:t>
          </w:r>
          <w:r w:rsidRPr="008D71C5" w:rsidR="008D71C5">
            <w:rPr>
              <w:rFonts w:asciiTheme="majorBidi" w:hAnsiTheme="majorBidi" w:cstheme="majorBidi"/>
              <w:noProof/>
              <w:sz w:val="24"/>
              <w:szCs w:val="24"/>
            </w:rPr>
            <w:t>(Alvarez &amp; Buckley, 2013)</w:t>
          </w:r>
          <w:r w:rsidR="008D71C5">
            <w:rPr>
              <w:rFonts w:asciiTheme="majorBidi" w:hAnsiTheme="majorBidi" w:cstheme="majorBidi"/>
              <w:sz w:val="24"/>
              <w:szCs w:val="24"/>
            </w:rPr>
            <w:fldChar w:fldCharType="end"/>
          </w:r>
        </w:sdtContent>
      </w:sdt>
      <w:r w:rsidR="00B7731B">
        <w:rPr>
          <w:rFonts w:asciiTheme="majorBidi" w:hAnsiTheme="majorBidi" w:cstheme="majorBidi"/>
          <w:sz w:val="24"/>
          <w:szCs w:val="24"/>
        </w:rPr>
        <w:t>.</w:t>
      </w:r>
    </w:p>
    <w:p w:rsidR="00B7731B" w:rsidP="00F93CAC">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Stand your ground law also </w:t>
      </w:r>
      <w:r w:rsidR="006C2983">
        <w:rPr>
          <w:rFonts w:asciiTheme="majorBidi" w:hAnsiTheme="majorBidi" w:cstheme="majorBidi"/>
          <w:sz w:val="24"/>
          <w:szCs w:val="24"/>
        </w:rPr>
        <w:t>creates an avenue for individuals to violate the laws of the land thus raising questions on its constitutionality. The law was primarily designed to protect individuals from prosecution due to injuries or death caused by self-defense. However, it lacks a precise definition of "reasonable force"</w:t>
      </w:r>
      <w:r w:rsidR="00143DEF">
        <w:rPr>
          <w:rFonts w:asciiTheme="majorBidi" w:hAnsiTheme="majorBidi" w:cstheme="majorBidi"/>
          <w:sz w:val="24"/>
          <w:szCs w:val="24"/>
        </w:rPr>
        <w:t xml:space="preserve"> since the individual is granted the freedom to determine the nature of the threat. In mo</w:t>
      </w:r>
      <w:r w:rsidR="00F93CAC">
        <w:rPr>
          <w:rFonts w:asciiTheme="majorBidi" w:hAnsiTheme="majorBidi" w:cstheme="majorBidi"/>
          <w:sz w:val="24"/>
          <w:szCs w:val="24"/>
        </w:rPr>
        <w:t xml:space="preserve">st cases, people in distress </w:t>
      </w:r>
      <w:r w:rsidR="00143DEF">
        <w:rPr>
          <w:rFonts w:asciiTheme="majorBidi" w:hAnsiTheme="majorBidi" w:cstheme="majorBidi"/>
          <w:sz w:val="24"/>
          <w:szCs w:val="24"/>
        </w:rPr>
        <w:t xml:space="preserve">do not have time to critically </w:t>
      </w:r>
      <w:r w:rsidR="00143DEF">
        <w:rPr>
          <w:rFonts w:asciiTheme="majorBidi" w:hAnsiTheme="majorBidi" w:cstheme="majorBidi"/>
          <w:sz w:val="24"/>
          <w:szCs w:val="24"/>
        </w:rPr>
        <w:t>a</w:t>
      </w:r>
      <w:r w:rsidR="00F93CAC">
        <w:rPr>
          <w:rFonts w:asciiTheme="majorBidi" w:hAnsiTheme="majorBidi" w:cstheme="majorBidi"/>
          <w:sz w:val="24"/>
          <w:szCs w:val="24"/>
        </w:rPr>
        <w:t xml:space="preserve">nalyze the situation and make rational decisions. They are likely to resort to </w:t>
      </w:r>
      <w:r w:rsidR="00C60E83">
        <w:rPr>
          <w:rFonts w:asciiTheme="majorBidi" w:hAnsiTheme="majorBidi" w:cstheme="majorBidi"/>
          <w:sz w:val="24"/>
          <w:szCs w:val="24"/>
        </w:rPr>
        <w:t>maximum force to defend themselves or loved ones.</w:t>
      </w:r>
    </w:p>
    <w:p w:rsidR="00C60E83" w:rsidP="007B4941">
      <w:pPr>
        <w:spacing w:line="480" w:lineRule="auto"/>
        <w:ind w:firstLine="720"/>
        <w:rPr>
          <w:rFonts w:asciiTheme="majorBidi" w:hAnsiTheme="majorBidi" w:cstheme="majorBidi"/>
          <w:sz w:val="24"/>
          <w:szCs w:val="24"/>
        </w:rPr>
      </w:pPr>
      <w:r>
        <w:rPr>
          <w:rFonts w:asciiTheme="majorBidi" w:hAnsiTheme="majorBidi" w:cstheme="majorBidi"/>
          <w:sz w:val="24"/>
          <w:szCs w:val="24"/>
        </w:rPr>
        <w:t>Finally, subsection three of the law that requires people to stand their ground when protecting their property violate the spirit of the constitution. The primary purpose of any government is protecting the interest of its citizens including property and life. In a situation where the government ce</w:t>
      </w:r>
      <w:r w:rsidR="00190070">
        <w:rPr>
          <w:rFonts w:asciiTheme="majorBidi" w:hAnsiTheme="majorBidi" w:cstheme="majorBidi"/>
          <w:sz w:val="24"/>
          <w:szCs w:val="24"/>
        </w:rPr>
        <w:t>ases to offer these services the</w:t>
      </w:r>
      <w:r w:rsidR="00147548">
        <w:rPr>
          <w:rFonts w:asciiTheme="majorBidi" w:hAnsiTheme="majorBidi" w:cstheme="majorBidi"/>
          <w:sz w:val="24"/>
          <w:szCs w:val="24"/>
        </w:rPr>
        <w:t xml:space="preserve">n it can be concluded that it has failed. In essence, the stand your ground with respect to property </w:t>
      </w:r>
      <w:r w:rsidR="002C17D6">
        <w:rPr>
          <w:rFonts w:asciiTheme="majorBidi" w:hAnsiTheme="majorBidi" w:cstheme="majorBidi"/>
          <w:sz w:val="24"/>
          <w:szCs w:val="24"/>
        </w:rPr>
        <w:t xml:space="preserve">indicates the government is failing on its responsibility to protect its citizens and their property. Additionally, the permission to use lethal force against intruders places the value of the property above human life which is </w:t>
      </w:r>
      <w:r w:rsidR="007B4941">
        <w:rPr>
          <w:rFonts w:asciiTheme="majorBidi" w:hAnsiTheme="majorBidi" w:cstheme="majorBidi"/>
          <w:sz w:val="24"/>
          <w:szCs w:val="24"/>
        </w:rPr>
        <w:t>irresponsible and violates the fundamental human rights to life.</w:t>
      </w:r>
      <w:r w:rsidR="003E09E5">
        <w:rPr>
          <w:rFonts w:asciiTheme="majorBidi" w:hAnsiTheme="majorBidi" w:cstheme="majorBidi"/>
          <w:sz w:val="24"/>
          <w:szCs w:val="24"/>
        </w:rPr>
        <w:t xml:space="preserve"> Furthermore, it violates the spirit of ‘innocent until proven guilty." 
</w:t>
      </w:r>
    </w:p>
    <w:p w:rsidR="007B4941" w:rsidP="007B4941">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In conclusion, stand your ground law in California and other states in the country needs a review to conform to the constitution. Currently, the law has loopholes that create an avenue for abuse </w:t>
      </w:r>
      <w:r w:rsidR="00F361E0">
        <w:rPr>
          <w:rFonts w:asciiTheme="majorBidi" w:hAnsiTheme="majorBidi" w:cstheme="majorBidi"/>
          <w:sz w:val="24"/>
          <w:szCs w:val="24"/>
        </w:rPr>
        <w:t>thus threatening the safety of the citi</w:t>
      </w:r>
      <w:r w:rsidR="00EF04A1">
        <w:rPr>
          <w:rFonts w:asciiTheme="majorBidi" w:hAnsiTheme="majorBidi" w:cstheme="majorBidi"/>
          <w:sz w:val="24"/>
          <w:szCs w:val="24"/>
        </w:rPr>
        <w:t xml:space="preserve">zens it is intended to protect. For instance, it does not give a clear definition of "reasonable force" neither does it define what constitutes an imminent threat. </w:t>
      </w:r>
      <w:r w:rsidR="00F25B1E">
        <w:rPr>
          <w:rFonts w:asciiTheme="majorBidi" w:hAnsiTheme="majorBidi" w:cstheme="majorBidi"/>
          <w:sz w:val="24"/>
          <w:szCs w:val="24"/>
        </w:rPr>
        <w:t xml:space="preserve">As a result, it is subject to abuse by </w:t>
      </w:r>
      <w:r w:rsidR="003E09E5">
        <w:rPr>
          <w:rFonts w:asciiTheme="majorBidi" w:hAnsiTheme="majorBidi" w:cstheme="majorBidi"/>
          <w:sz w:val="24"/>
          <w:szCs w:val="24"/>
        </w:rPr>
        <w:t xml:space="preserve">citizens with ill intention. </w:t>
      </w:r>
    </w:p>
    <w:p w:rsidR="004346F6" w:rsidP="007B4941">
      <w:pPr>
        <w:spacing w:line="480" w:lineRule="auto"/>
        <w:ind w:firstLine="720"/>
        <w:rPr>
          <w:rFonts w:asciiTheme="majorBidi" w:hAnsiTheme="majorBidi" w:cstheme="majorBidi"/>
          <w:sz w:val="24"/>
          <w:szCs w:val="24"/>
        </w:rPr>
      </w:pPr>
    </w:p>
    <w:p w:rsidR="004346F6" w:rsidP="007B4941">
      <w:pPr>
        <w:spacing w:line="480" w:lineRule="auto"/>
        <w:ind w:firstLine="720"/>
        <w:rPr>
          <w:rFonts w:asciiTheme="majorBidi" w:hAnsiTheme="majorBidi" w:cstheme="majorBidi"/>
          <w:sz w:val="24"/>
          <w:szCs w:val="24"/>
        </w:rPr>
      </w:pPr>
    </w:p>
    <w:p w:rsidR="004346F6" w:rsidP="007B4941">
      <w:pPr>
        <w:spacing w:line="480" w:lineRule="auto"/>
        <w:ind w:firstLine="720"/>
        <w:rPr>
          <w:rFonts w:asciiTheme="majorBidi" w:hAnsiTheme="majorBidi" w:cstheme="majorBidi"/>
          <w:sz w:val="24"/>
          <w:szCs w:val="24"/>
        </w:rPr>
      </w:pPr>
    </w:p>
    <w:p w:rsidR="004346F6" w:rsidP="007B4941">
      <w:pPr>
        <w:spacing w:line="480" w:lineRule="auto"/>
        <w:ind w:firstLine="720"/>
        <w:rPr>
          <w:rFonts w:asciiTheme="majorBidi" w:hAnsiTheme="majorBidi" w:cstheme="majorBidi"/>
          <w:sz w:val="24"/>
          <w:szCs w:val="24"/>
        </w:rPr>
      </w:pPr>
    </w:p>
    <w:p w:rsidR="004346F6" w:rsidP="007B4941">
      <w:pPr>
        <w:spacing w:line="480" w:lineRule="auto"/>
        <w:ind w:firstLine="720"/>
        <w:rPr>
          <w:rFonts w:asciiTheme="majorBidi" w:hAnsiTheme="majorBidi" w:cstheme="majorBidi"/>
          <w:sz w:val="24"/>
          <w:szCs w:val="24"/>
        </w:rPr>
      </w:pPr>
    </w:p>
    <w:p w:rsidR="004346F6" w:rsidP="007B4941">
      <w:pPr>
        <w:spacing w:line="480" w:lineRule="auto"/>
        <w:ind w:firstLine="720"/>
        <w:rPr>
          <w:rFonts w:asciiTheme="majorBidi" w:hAnsiTheme="majorBidi" w:cstheme="majorBidi"/>
          <w:sz w:val="24"/>
          <w:szCs w:val="24"/>
        </w:rPr>
      </w:pPr>
    </w:p>
    <w:p w:rsidR="004346F6" w:rsidP="007B4941">
      <w:pPr>
        <w:spacing w:line="480" w:lineRule="auto"/>
        <w:ind w:firstLine="720"/>
        <w:rPr>
          <w:rFonts w:asciiTheme="majorBidi" w:hAnsiTheme="majorBidi" w:cstheme="majorBidi"/>
          <w:sz w:val="24"/>
          <w:szCs w:val="24"/>
        </w:rPr>
      </w:pPr>
    </w:p>
    <w:p w:rsidR="004346F6" w:rsidP="004346F6">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t>References</w:t>
      </w:r>
    </w:p>
    <w:p w:rsidR="004346F6" w:rsidP="004346F6">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 xml:space="preserve">Alvarez, L., &amp; Buckley, C. (2013). Zimmerman is acquitted in Trayvon Martin killing. </w:t>
      </w:r>
      <w:r>
        <w:rPr>
          <w:i/>
          <w:iCs/>
          <w:noProof/>
        </w:rPr>
        <w:t>New York Times 3</w:t>
      </w:r>
      <w:r>
        <w:rPr>
          <w:noProof/>
        </w:rPr>
        <w:t>.</w:t>
      </w:r>
    </w:p>
    <w:p w:rsidR="004346F6" w:rsidP="004346F6">
      <w:pPr>
        <w:pStyle w:val="Bibliography"/>
        <w:ind w:left="720" w:hanging="720"/>
        <w:rPr>
          <w:noProof/>
        </w:rPr>
      </w:pPr>
      <w:r>
        <w:rPr>
          <w:noProof/>
        </w:rPr>
        <w:t>Brown v. the United States, 256 U.S. 335, 256 U.S. 335 (U.S. Supreme Court May 16, 1921). Retrieved June 25, 2019, from https://supreme.justia.com/cases/federal/us/256/335/
</w:t>
      </w:r>
    </w:p>
    <w:p w:rsidR="004346F6" w:rsidP="004346F6">
      <w:pPr>
        <w:pStyle w:val="Bibliography"/>
        <w:ind w:left="720" w:hanging="720"/>
        <w:rPr>
          <w:noProof/>
        </w:rPr>
      </w:pPr>
      <w:r>
        <w:rPr>
          <w:noProof/>
        </w:rPr>
        <w:t xml:space="preserve">John, R. K. (2013). Race, justifiable homicide, and stand your ground laws: Analysis of FBI supplementary homicide report data. </w:t>
      </w:r>
      <w:r>
        <w:rPr>
          <w:i/>
          <w:iCs/>
          <w:noProof/>
        </w:rPr>
        <w:t>Urban Institute</w:t>
      </w:r>
      <w:r>
        <w:rPr>
          <w:noProof/>
        </w:rPr>
        <w:t>, 1-14.</w:t>
      </w:r>
    </w:p>
    <w:p w:rsidR="004346F6" w:rsidP="004346F6">
      <w:pPr>
        <w:pStyle w:val="Bibliography"/>
        <w:ind w:left="720" w:hanging="720"/>
        <w:rPr>
          <w:noProof/>
        </w:rPr>
      </w:pPr>
      <w:r>
        <w:rPr>
          <w:noProof/>
        </w:rPr>
        <w:t xml:space="preserve">Leroy, R. N. (2018). </w:t>
      </w:r>
      <w:r>
        <w:rPr>
          <w:i/>
          <w:iCs/>
          <w:noProof/>
        </w:rPr>
        <w:t>Congressional Politics: The Evolving Legislative System.</w:t>
      </w:r>
      <w:r>
        <w:rPr>
          <w:noProof/>
        </w:rPr>
        <w:t xml:space="preserve"> Routledge.</w:t>
      </w:r>
    </w:p>
    <w:p w:rsidR="004346F6" w:rsidP="004346F6">
      <w:pPr>
        <w:pStyle w:val="Bibliography"/>
        <w:ind w:left="720" w:hanging="720"/>
        <w:rPr>
          <w:noProof/>
        </w:rPr>
      </w:pPr>
      <w:r>
        <w:rPr>
          <w:i/>
          <w:iCs/>
          <w:noProof/>
        </w:rPr>
        <w:t>PENAL CODE - PEN</w:t>
      </w:r>
      <w:r>
        <w:rPr>
          <w:noProof/>
        </w:rPr>
        <w:t>. (n.d.). Retrieved from California Leglisative Information: https://leginfo.legislature.ca.gov/faces/codes_displaySection.xhtml?lawCode=PEN&amp;sectionNum=198.5.</w:t>
      </w:r>
    </w:p>
    <w:p w:rsidR="004346F6" w:rsidP="004346F6">
      <w:pPr>
        <w:pStyle w:val="Bibliography"/>
        <w:ind w:left="720" w:hanging="720"/>
        <w:rPr>
          <w:noProof/>
        </w:rPr>
      </w:pPr>
      <w:r>
        <w:rPr>
          <w:noProof/>
        </w:rPr>
        <w:t xml:space="preserve">Tokson, M. (2016). Knowledge and Fourth Amendment Privacy. </w:t>
      </w:r>
      <w:r>
        <w:rPr>
          <w:i/>
          <w:iCs/>
          <w:noProof/>
        </w:rPr>
        <w:t>Nw. UL Rev. 111</w:t>
      </w:r>
      <w:r>
        <w:rPr>
          <w:noProof/>
        </w:rPr>
        <w:t>, 139.</w:t>
      </w:r>
    </w:p>
    <w:p w:rsidR="004346F6" w:rsidP="004346F6">
      <w:pPr>
        <w:spacing w:line="480" w:lineRule="auto"/>
        <w:ind w:firstLine="720"/>
        <w:rPr>
          <w:rFonts w:asciiTheme="majorBidi" w:hAnsiTheme="majorBidi" w:cstheme="majorBidi"/>
          <w:sz w:val="24"/>
          <w:szCs w:val="24"/>
        </w:rPr>
      </w:pPr>
      <w:r>
        <w:rPr>
          <w:rFonts w:asciiTheme="majorBidi" w:hAnsiTheme="majorBidi" w:cstheme="majorBidi"/>
          <w:sz w:val="24"/>
          <w:szCs w:val="24"/>
        </w:rPr>
        <w:fldChar w:fldCharType="end"/>
      </w:r>
      <w:bookmarkStart w:id="0" w:name="_GoBack"/>
      <w:bookmarkEnd w:id="0"/>
    </w:p>
    <w:p w:rsidR="004346F6" w:rsidP="007B4941">
      <w:pPr>
        <w:spacing w:line="480" w:lineRule="auto"/>
        <w:ind w:firstLine="720"/>
        <w:rPr>
          <w:rFonts w:asciiTheme="majorBidi" w:hAnsiTheme="majorBidi" w:cstheme="majorBidi"/>
          <w:sz w:val="24"/>
          <w:szCs w:val="24"/>
        </w:rPr>
      </w:pPr>
    </w:p>
    <w:p w:rsidR="004346F6" w:rsidP="007B4941">
      <w:pPr>
        <w:spacing w:line="480" w:lineRule="auto"/>
        <w:ind w:firstLine="720"/>
        <w:rPr>
          <w:rFonts w:asciiTheme="majorBidi" w:hAnsiTheme="majorBidi" w:cstheme="majorBidi"/>
          <w:sz w:val="24"/>
          <w:szCs w:val="24"/>
        </w:rPr>
      </w:pPr>
    </w:p>
    <w:p w:rsidR="00096D28" w:rsidP="006A6ECD">
      <w:pPr>
        <w:spacing w:line="480" w:lineRule="auto"/>
        <w:ind w:firstLine="720"/>
        <w:rPr>
          <w:rFonts w:asciiTheme="majorBidi" w:hAnsiTheme="majorBidi" w:cstheme="majorBidi"/>
          <w:sz w:val="24"/>
          <w:szCs w:val="24"/>
        </w:rPr>
      </w:pPr>
    </w:p>
    <w:p w:rsidR="00E2102D" w:rsidRPr="00E2102D" w:rsidP="00E2102D">
      <w:pPr>
        <w:spacing w:line="480" w:lineRule="auto"/>
        <w:jc w:val="center"/>
        <w:rPr>
          <w:rFonts w:asciiTheme="majorBidi" w:hAnsiTheme="majorBidi" w:cstheme="majorBidi"/>
          <w:sz w:val="24"/>
          <w:szCs w:val="24"/>
        </w:rPr>
      </w:pPr>
    </w:p>
    <w:sectPr w:rsidSect="003A094C">
      <w:headerReference w:type="default" r:id="rId5"/>
      <w:headerReference w:type="first" r:id="rId6"/>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102D" w:rsidRPr="00E2102D">
    <w:pPr>
      <w:pStyle w:val="Header"/>
      <w:rPr>
        <w:rFonts w:asciiTheme="majorBidi" w:hAnsiTheme="majorBidi" w:cstheme="majorBidi"/>
        <w:sz w:val="24"/>
        <w:szCs w:val="24"/>
      </w:rPr>
    </w:pPr>
    <w:r>
      <w:rPr>
        <w:rFonts w:asciiTheme="majorBidi" w:hAnsiTheme="majorBidi" w:cstheme="majorBidi"/>
        <w:sz w:val="24"/>
        <w:szCs w:val="24"/>
      </w:rPr>
      <w:t xml:space="preserve">California Self-Defense Law </w:t>
    </w:r>
    <w:r>
      <w:rPr>
        <w:rFonts w:asciiTheme="majorBidi" w:hAnsiTheme="majorBidi" w:cstheme="majorBidi"/>
        <w:sz w:val="24"/>
        <w:szCs w:val="24"/>
      </w:rPr>
      <w:tab/>
    </w:r>
    <w:r>
      <w:rPr>
        <w:rFonts w:asciiTheme="majorBidi" w:hAnsiTheme="majorBidi" w:cstheme="majorBidi"/>
        <w:sz w:val="24"/>
        <w:szCs w:val="24"/>
      </w:rPr>
      <w:tab/>
    </w:r>
    <w:r w:rsidRPr="00E2102D">
      <w:rPr>
        <w:rFonts w:asciiTheme="majorBidi" w:hAnsiTheme="majorBidi" w:cstheme="majorBidi"/>
        <w:sz w:val="24"/>
        <w:szCs w:val="24"/>
      </w:rPr>
      <w:fldChar w:fldCharType="begin"/>
    </w:r>
    <w:r w:rsidRPr="00E2102D">
      <w:rPr>
        <w:rFonts w:asciiTheme="majorBidi" w:hAnsiTheme="majorBidi" w:cstheme="majorBidi"/>
        <w:sz w:val="24"/>
        <w:szCs w:val="24"/>
      </w:rPr>
      <w:instrText xml:space="preserve"> PAGE   \* MERGEFORMAT </w:instrText>
    </w:r>
    <w:r w:rsidRPr="00E2102D">
      <w:rPr>
        <w:rFonts w:asciiTheme="majorBidi" w:hAnsiTheme="majorBidi" w:cstheme="majorBidi"/>
        <w:sz w:val="24"/>
        <w:szCs w:val="24"/>
      </w:rPr>
      <w:fldChar w:fldCharType="separate"/>
    </w:r>
    <w:r w:rsidR="004346F6">
      <w:rPr>
        <w:rFonts w:asciiTheme="majorBidi" w:hAnsiTheme="majorBidi" w:cstheme="majorBidi"/>
        <w:noProof/>
        <w:sz w:val="24"/>
        <w:szCs w:val="24"/>
      </w:rPr>
      <w:t>9</w:t>
    </w:r>
    <w:r w:rsidRPr="00E2102D">
      <w:rPr>
        <w:rFonts w:asciiTheme="majorBidi" w:hAnsiTheme="majorBidi" w:cstheme="majorBidi"/>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094C" w:rsidRPr="003A094C" w:rsidP="00E2102D">
    <w:pPr>
      <w:pStyle w:val="Header"/>
      <w:rPr>
        <w:rFonts w:asciiTheme="majorBidi" w:hAnsiTheme="majorBidi" w:cstheme="majorBidi"/>
        <w:sz w:val="24"/>
        <w:szCs w:val="24"/>
      </w:rPr>
    </w:pPr>
    <w:r>
      <w:rPr>
        <w:rFonts w:asciiTheme="majorBidi" w:hAnsiTheme="majorBidi" w:cstheme="majorBidi"/>
        <w:sz w:val="24"/>
        <w:szCs w:val="24"/>
      </w:rPr>
      <w:t xml:space="preserve">Running Head: </w:t>
    </w:r>
    <w:r w:rsidR="00E2102D">
      <w:rPr>
        <w:rFonts w:asciiTheme="majorBidi" w:hAnsiTheme="majorBidi" w:cstheme="majorBidi"/>
        <w:sz w:val="24"/>
        <w:szCs w:val="24"/>
      </w:rPr>
      <w:t xml:space="preserve">California Self-Defense Law </w:t>
    </w:r>
    <w:r w:rsidR="00E2102D">
      <w:rPr>
        <w:rFonts w:asciiTheme="majorBidi" w:hAnsiTheme="majorBidi" w:cstheme="majorBidi"/>
        <w:sz w:val="24"/>
        <w:szCs w:val="24"/>
      </w:rPr>
      <w:tab/>
    </w:r>
    <w:r w:rsidR="00E2102D">
      <w:rPr>
        <w:rFonts w:asciiTheme="majorBidi" w:hAnsiTheme="majorBidi" w:cstheme="majorBidi"/>
        <w:sz w:val="24"/>
        <w:szCs w:val="24"/>
      </w:rPr>
      <w:tab/>
    </w:r>
    <w:r w:rsidRPr="00E2102D" w:rsidR="00E2102D">
      <w:rPr>
        <w:rFonts w:asciiTheme="majorBidi" w:hAnsiTheme="majorBidi" w:cstheme="majorBidi"/>
        <w:sz w:val="24"/>
        <w:szCs w:val="24"/>
      </w:rPr>
      <w:fldChar w:fldCharType="begin"/>
    </w:r>
    <w:r w:rsidRPr="00E2102D" w:rsidR="00E2102D">
      <w:rPr>
        <w:rFonts w:asciiTheme="majorBidi" w:hAnsiTheme="majorBidi" w:cstheme="majorBidi"/>
        <w:sz w:val="24"/>
        <w:szCs w:val="24"/>
      </w:rPr>
      <w:instrText xml:space="preserve"> PAGE   \* MERGEFORMAT </w:instrText>
    </w:r>
    <w:r w:rsidRPr="00E2102D" w:rsidR="00E2102D">
      <w:rPr>
        <w:rFonts w:asciiTheme="majorBidi" w:hAnsiTheme="majorBidi" w:cstheme="majorBidi"/>
        <w:sz w:val="24"/>
        <w:szCs w:val="24"/>
      </w:rPr>
      <w:fldChar w:fldCharType="separate"/>
    </w:r>
    <w:r w:rsidR="007171CC">
      <w:rPr>
        <w:rFonts w:asciiTheme="majorBidi" w:hAnsiTheme="majorBidi" w:cstheme="majorBidi"/>
        <w:noProof/>
        <w:sz w:val="24"/>
        <w:szCs w:val="24"/>
      </w:rPr>
      <w:t>1</w:t>
    </w:r>
    <w:r w:rsidRPr="00E2102D" w:rsidR="00E2102D">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94C"/>
    <w:rsid w:val="0002398B"/>
    <w:rsid w:val="000303E8"/>
    <w:rsid w:val="0004593B"/>
    <w:rsid w:val="00096D28"/>
    <w:rsid w:val="000A147B"/>
    <w:rsid w:val="000B51C5"/>
    <w:rsid w:val="000E1E28"/>
    <w:rsid w:val="000F44F8"/>
    <w:rsid w:val="00140E97"/>
    <w:rsid w:val="00143DEF"/>
    <w:rsid w:val="00147548"/>
    <w:rsid w:val="00190070"/>
    <w:rsid w:val="001B0E79"/>
    <w:rsid w:val="001E0063"/>
    <w:rsid w:val="001E33F5"/>
    <w:rsid w:val="001F30AF"/>
    <w:rsid w:val="00235A92"/>
    <w:rsid w:val="002C17D6"/>
    <w:rsid w:val="003172D3"/>
    <w:rsid w:val="0033158C"/>
    <w:rsid w:val="00333FE0"/>
    <w:rsid w:val="00382378"/>
    <w:rsid w:val="0039754C"/>
    <w:rsid w:val="003A094C"/>
    <w:rsid w:val="003D35A6"/>
    <w:rsid w:val="003D7DE9"/>
    <w:rsid w:val="003E09E5"/>
    <w:rsid w:val="004346F6"/>
    <w:rsid w:val="00440537"/>
    <w:rsid w:val="00441489"/>
    <w:rsid w:val="0045364E"/>
    <w:rsid w:val="00477DE3"/>
    <w:rsid w:val="0048338B"/>
    <w:rsid w:val="004C4B25"/>
    <w:rsid w:val="005945DC"/>
    <w:rsid w:val="00633CEC"/>
    <w:rsid w:val="00634107"/>
    <w:rsid w:val="00640ACB"/>
    <w:rsid w:val="00645842"/>
    <w:rsid w:val="006A6ECD"/>
    <w:rsid w:val="006C2983"/>
    <w:rsid w:val="006C3E66"/>
    <w:rsid w:val="007171CC"/>
    <w:rsid w:val="007278FE"/>
    <w:rsid w:val="00753D9F"/>
    <w:rsid w:val="00756D7B"/>
    <w:rsid w:val="007765E7"/>
    <w:rsid w:val="00790AF8"/>
    <w:rsid w:val="007944E6"/>
    <w:rsid w:val="007B4941"/>
    <w:rsid w:val="007E0C4D"/>
    <w:rsid w:val="007F69B9"/>
    <w:rsid w:val="0082130F"/>
    <w:rsid w:val="00882401"/>
    <w:rsid w:val="008A5A8E"/>
    <w:rsid w:val="008D71C5"/>
    <w:rsid w:val="008F2A76"/>
    <w:rsid w:val="00904952"/>
    <w:rsid w:val="00912755"/>
    <w:rsid w:val="00932C4B"/>
    <w:rsid w:val="00965BDD"/>
    <w:rsid w:val="009B4658"/>
    <w:rsid w:val="009D57B1"/>
    <w:rsid w:val="009F1037"/>
    <w:rsid w:val="00A3649B"/>
    <w:rsid w:val="00A71F20"/>
    <w:rsid w:val="00AA400E"/>
    <w:rsid w:val="00B205F5"/>
    <w:rsid w:val="00B2147F"/>
    <w:rsid w:val="00B3077D"/>
    <w:rsid w:val="00B34BF5"/>
    <w:rsid w:val="00B428D1"/>
    <w:rsid w:val="00B55E11"/>
    <w:rsid w:val="00B7731B"/>
    <w:rsid w:val="00BD6D8D"/>
    <w:rsid w:val="00C40AF8"/>
    <w:rsid w:val="00C468D7"/>
    <w:rsid w:val="00C60E83"/>
    <w:rsid w:val="00C737DB"/>
    <w:rsid w:val="00CC4209"/>
    <w:rsid w:val="00D36BD2"/>
    <w:rsid w:val="00D57A3B"/>
    <w:rsid w:val="00D713C6"/>
    <w:rsid w:val="00D95D56"/>
    <w:rsid w:val="00DA7B2C"/>
    <w:rsid w:val="00DD4FAE"/>
    <w:rsid w:val="00DF285C"/>
    <w:rsid w:val="00E038C0"/>
    <w:rsid w:val="00E147B1"/>
    <w:rsid w:val="00E2102D"/>
    <w:rsid w:val="00EB00E2"/>
    <w:rsid w:val="00EB41C5"/>
    <w:rsid w:val="00EB6F99"/>
    <w:rsid w:val="00EF04A1"/>
    <w:rsid w:val="00F22DBB"/>
    <w:rsid w:val="00F25B1E"/>
    <w:rsid w:val="00F35FAC"/>
    <w:rsid w:val="00F361E0"/>
    <w:rsid w:val="00F93CAC"/>
    <w:rsid w:val="00FF79EE"/>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5:chartTrackingRefBased/>
  <w15:docId w15:val="{4EF9B223-BEFF-4AE5-9C8C-D11069CA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9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94C"/>
    <w:rPr>
      <w:lang w:val="en-US"/>
    </w:rPr>
  </w:style>
  <w:style w:type="paragraph" w:styleId="Footer">
    <w:name w:val="footer"/>
    <w:basedOn w:val="Normal"/>
    <w:link w:val="FooterChar"/>
    <w:uiPriority w:val="99"/>
    <w:unhideWhenUsed/>
    <w:rsid w:val="003A09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94C"/>
    <w:rPr>
      <w:lang w:val="en-US"/>
    </w:rPr>
  </w:style>
  <w:style w:type="paragraph" w:styleId="Bibliography">
    <w:name w:val="Bibliography"/>
    <w:basedOn w:val="Normal"/>
    <w:next w:val="Normal"/>
    <w:uiPriority w:val="37"/>
    <w:unhideWhenUsed/>
    <w:rsid w:val="00434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Bro21</b:Tag>
    <b:SourceType>Case</b:SourceType>
    <b:Guid>{9FAD1785-8416-4DD7-8B52-5C6E5701D7C9}</b:Guid>
    <b:Title>Brown v. United States, 256 U.S. 335</b:Title>
    <b:Year>1921</b:Year>
    <b:Month>May</b:Month>
    <b:Day>16</b:Day>
    <b:URL>https://supreme.justia.com/cases/federal/us/256/335/</b:URL>
    <b:CaseNumber>256 U.S. 335</b:CaseNumber>
    <b:Court>U.S. Supreme Court</b:Court>
    <b:YearAccessed>2019</b:YearAccessed>
    <b:MonthAccessed>June </b:MonthAccessed>
    <b:DayAccessed>25</b:DayAccessed>
    <b:RefOrder>6</b:RefOrder>
  </b:Source>
  <b:Source>
    <b:Tag>Rom13</b:Tag>
    <b:SourceType>JournalArticle</b:SourceType>
    <b:Guid>{FD9F792F-A519-468A-A4FC-0870EF9A0B86}</b:Guid>
    <b:Title>Race, justifiable homicide, and stand your ground laws: Analysis of FBI supplementary homicide report data</b:Title>
    <b:Year>2013</b:Year>
    <b:Author>
      <b:Author>
        <b:NameList>
          <b:Person>
            <b:Last>John</b:Last>
            <b:First>Roman</b:First>
            <b:Middle>K</b:Middle>
          </b:Person>
        </b:NameList>
      </b:Author>
    </b:Author>
    <b:JournalName>Urban Institute </b:JournalName>
    <b:Pages>1-14</b:Pages>
    <b:RefOrder>1</b:RefOrder>
  </b:Source>
  <b:Source>
    <b:Tag>Alv13</b:Tag>
    <b:SourceType>JournalArticle</b:SourceType>
    <b:Guid>{C0B372C9-8A4F-4760-AF01-2940FCD6FCEE}</b:Guid>
    <b:Author>
      <b:Author>
        <b:NameList>
          <b:Person>
            <b:Last>Alvarez</b:Last>
            <b:First>Lizette</b:First>
          </b:Person>
          <b:Person>
            <b:Last>Buckley</b:Last>
            <b:First>Cara</b:First>
          </b:Person>
        </b:NameList>
      </b:Author>
    </b:Author>
    <b:Title>Zimmerman is acquitted in Trayvon Martin killing</b:Title>
    <b:JournalName>New York Times 3</b:JournalName>
    <b:Year>2013</b:Year>
    <b:RefOrder>4</b:RefOrder>
  </b:Source>
  <b:Source>
    <b:Tag>PEN</b:Tag>
    <b:SourceType>InternetSite</b:SourceType>
    <b:Guid>{DA3118AE-0050-4883-B374-68DBE9D46E8C}</b:Guid>
    <b:Title>PENAL CODE - PEN</b:Title>
    <b:InternetSiteTitle>California Leglisative Information</b:InternetSiteTitle>
    <b:URL>https://leginfo.legislature.ca.gov/faces/codes_displaySection.xhtml?lawCode=PEN&amp;sectionNum=198.5.</b:URL>
    <b:RefOrder>2</b:RefOrder>
  </b:Source>
  <b:Source>
    <b:Tag>Tok16</b:Tag>
    <b:SourceType>JournalArticle</b:SourceType>
    <b:Guid>{5EFB72F8-617E-4174-915D-960DFA299088}</b:Guid>
    <b:Title>Knowledge and Fourth Amendment Privacy</b:Title>
    <b:Year>2016</b:Year>
    <b:Author>
      <b:Author>
        <b:NameList>
          <b:Person>
            <b:Last>Tokson</b:Last>
            <b:First>Matthew</b:First>
          </b:Person>
        </b:NameList>
      </b:Author>
    </b:Author>
    <b:JournalName>Nw. UL Rev. 111</b:JournalName>
    <b:Pages>139</b:Pages>
    <b:RefOrder>3</b:RefOrder>
  </b:Source>
  <b:Source>
    <b:Tag>Rie18</b:Tag>
    <b:SourceType>Book</b:SourceType>
    <b:Guid>{4854D916-85E9-4655-ADE3-3CFCAA5C7768}</b:Guid>
    <b:Title>Congressional Politics: The Evolving Legislative System</b:Title>
    <b:Year>2018</b:Year>
    <b:Author>
      <b:Author>
        <b:NameList>
          <b:Person>
            <b:Last>Leroy</b:Last>
            <b:First>Rieselbach</b:First>
            <b:Middle>N</b:Middle>
          </b:Person>
        </b:NameList>
      </b:Author>
    </b:Author>
    <b:Publisher>Routledge</b:Publisher>
    <b:RefOrder>5</b:RefOrder>
  </b:Source>
</b:Sources>
</file>

<file path=customXml/itemProps1.xml><?xml version="1.0" encoding="utf-8"?>
<ds:datastoreItem xmlns:ds="http://schemas.openxmlformats.org/officeDocument/2006/customXml" ds:itemID="{B9C9E973-F1EC-406E-A7CB-135A7031D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9</Pages>
  <Words>2181</Words>
  <Characters>12433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59</cp:revision>
  <dcterms:created xsi:type="dcterms:W3CDTF">2019-06-25T07:02:00Z</dcterms:created>
  <dcterms:modified xsi:type="dcterms:W3CDTF">2019-06-26T07:19:00Z</dcterms:modified>
</cp:coreProperties>
</file>