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spacing w:after="240" w:line="480" w:lineRule="auto"/>
        <w:ind w:left="0" w:right="0" w:firstLine="0"/>
        <w:jc w:val="left"/>
        <w:rPr>
          <w:rFonts w:ascii="Times" w:cs="Times" w:hAnsi="Times" w:eastAsia="Times"/>
          <w:color w:val="000000"/>
          <w:sz w:val="24"/>
          <w:szCs w:val="24"/>
          <w:rtl w:val="0"/>
        </w:rPr>
      </w:pPr>
      <w:r>
        <w:rPr>
          <w:rFonts w:ascii="Times"/>
          <w:color w:val="cb1c28"/>
          <w:sz w:val="32"/>
          <w:szCs w:val="32"/>
          <w:rtl w:val="0"/>
          <w:lang w:val="nl-NL"/>
        </w:rPr>
        <w:t xml:space="preserve">Windshield Survey </w:t>
      </w:r>
    </w:p>
    <w:p>
      <w:pPr>
        <w:pStyle w:val="Default"/>
        <w:bidi w:val="0"/>
        <w:spacing w:after="240" w:line="480" w:lineRule="auto"/>
        <w:ind w:left="0" w:right="0" w:firstLine="0"/>
        <w:jc w:val="left"/>
        <w:rPr>
          <w:rFonts w:ascii="Times" w:cs="Times" w:hAnsi="Times" w:eastAsia="Times"/>
          <w:sz w:val="24"/>
          <w:szCs w:val="24"/>
          <w:rtl w:val="0"/>
        </w:rPr>
      </w:pPr>
      <w:r>
        <w:rPr>
          <w:rFonts w:ascii="Times"/>
          <w:sz w:val="30"/>
          <w:szCs w:val="30"/>
          <w:rtl w:val="0"/>
        </w:rPr>
        <w:t xml:space="preserve">A </w:t>
      </w:r>
      <w:r>
        <w:rPr>
          <w:rFonts w:ascii="Times"/>
          <w:b w:val="1"/>
          <w:bCs w:val="1"/>
          <w:color w:val="cb1c28"/>
          <w:sz w:val="30"/>
          <w:szCs w:val="30"/>
          <w:rtl w:val="0"/>
          <w:lang w:val="en-US"/>
        </w:rPr>
        <w:t xml:space="preserve">windshield survey </w:t>
      </w:r>
      <w:r>
        <w:rPr>
          <w:rFonts w:ascii="Times"/>
          <w:sz w:val="30"/>
          <w:szCs w:val="30"/>
          <w:rtl w:val="0"/>
          <w:lang w:val="en-US"/>
        </w:rPr>
        <w:t>is an example of primary data col- lection that can help the team get an initial understand- ing of the community and is sometimes viewed as part of a preassessment phase. The windshield survey is wha it sounds like</w:t>
      </w:r>
      <w:r>
        <w:rPr>
          <w:rFonts w:hAnsi="Times" w:hint="default"/>
          <w:sz w:val="30"/>
          <w:szCs w:val="30"/>
          <w:rtl w:val="0"/>
        </w:rPr>
        <w:t>—</w:t>
      </w:r>
      <w:r>
        <w:rPr>
          <w:rFonts w:ascii="Times"/>
          <w:sz w:val="30"/>
          <w:szCs w:val="30"/>
          <w:rtl w:val="0"/>
          <w:lang w:val="en-US"/>
        </w:rPr>
        <w:t xml:space="preserve">a drive through or walk through the com- munity to observe the community. The idea is to actu- ally observe the community prior to conducting a more </w:t>
      </w:r>
    </w:p>
    <w:p>
      <w:pPr>
        <w:pStyle w:val="Default"/>
        <w:bidi w:val="0"/>
        <w:spacing w:line="480" w:lineRule="auto"/>
        <w:ind w:left="0" w:right="0" w:firstLine="0"/>
        <w:jc w:val="left"/>
        <w:rPr>
          <w:rFonts w:ascii="Times" w:cs="Times" w:hAnsi="Times" w:eastAsia="Times"/>
          <w:sz w:val="24"/>
          <w:szCs w:val="24"/>
          <w:rtl w:val="0"/>
        </w:rPr>
      </w:pPr>
      <w:r>
        <w:rPr>
          <w:rFonts w:ascii="Times" w:cs="Times" w:hAnsi="Times" w:eastAsia="Times"/>
          <w:sz w:val="24"/>
          <w:szCs w:val="24"/>
          <w:rtl w:val="0"/>
        </w:rPr>
        <w:drawing>
          <wp:inline distT="0" distB="0" distL="0" distR="0">
            <wp:extent cx="1384300" cy="127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ge106image44104.png"/>
                    <pic:cNvPicPr/>
                  </pic:nvPicPr>
                  <pic:blipFill>
                    <a:blip r:embed="rId4">
                      <a:extLst/>
                    </a:blip>
                    <a:stretch>
                      <a:fillRect/>
                    </a:stretch>
                  </pic:blipFill>
                  <pic:spPr>
                    <a:xfrm>
                      <a:off x="0" y="0"/>
                      <a:ext cx="1384300" cy="12700"/>
                    </a:xfrm>
                    <a:prstGeom prst="rect">
                      <a:avLst/>
                    </a:prstGeom>
                    <a:ln w="12700" cap="flat">
                      <a:noFill/>
                      <a:miter lim="400000"/>
                    </a:ln>
                    <a:effectLst/>
                  </pic:spPr>
                </pic:pic>
              </a:graphicData>
            </a:graphic>
          </wp:inline>
        </w:drawing>
      </w:r>
      <w:r>
        <w:rPr>
          <w:rFonts w:ascii="Times"/>
          <w:sz w:val="24"/>
          <w:szCs w:val="24"/>
          <w:rtl w:val="0"/>
        </w:rPr>
        <w:t xml:space="preserve"> </w:t>
      </w:r>
    </w:p>
    <w:p>
      <w:pPr>
        <w:pStyle w:val="Default"/>
        <w:bidi w:val="0"/>
        <w:spacing w:after="240" w:line="480" w:lineRule="auto"/>
        <w:ind w:left="0" w:right="0" w:firstLine="0"/>
        <w:jc w:val="left"/>
        <w:rPr>
          <w:rFonts w:ascii="Times" w:cs="Times" w:hAnsi="Times" w:eastAsia="Times"/>
          <w:sz w:val="24"/>
          <w:szCs w:val="24"/>
          <w:rtl w:val="0"/>
        </w:rPr>
      </w:pPr>
      <w:r>
        <w:rPr>
          <w:rFonts w:ascii="Times"/>
          <w:i w:val="1"/>
          <w:iCs w:val="1"/>
          <w:sz w:val="26"/>
          <w:szCs w:val="26"/>
          <w:rtl w:val="0"/>
        </w:rPr>
        <w:t xml:space="preserve">88 </w:t>
      </w:r>
      <w:r>
        <w:rPr>
          <w:rFonts w:ascii="Times"/>
          <w:sz w:val="18"/>
          <w:szCs w:val="18"/>
          <w:rtl w:val="0"/>
        </w:rPr>
        <w:t xml:space="preserve">U N I T I </w:t>
      </w:r>
      <w:r>
        <w:rPr>
          <w:rFonts w:hAnsi="Times" w:hint="default"/>
          <w:sz w:val="26"/>
          <w:szCs w:val="26"/>
          <w:rtl w:val="0"/>
        </w:rPr>
        <w:t xml:space="preserve">• </w:t>
      </w:r>
      <w:r>
        <w:rPr>
          <w:rFonts w:ascii="Times"/>
          <w:sz w:val="26"/>
          <w:szCs w:val="26"/>
          <w:rtl w:val="0"/>
          <w:lang w:val="en-US"/>
        </w:rPr>
        <w:t xml:space="preserve">Basis for Public Health Nursing Knowledge and Skills </w:t>
      </w:r>
    </w:p>
    <w:p>
      <w:pPr>
        <w:pStyle w:val="Default"/>
        <w:bidi w:val="0"/>
        <w:spacing w:after="240" w:line="480" w:lineRule="auto"/>
        <w:ind w:left="0" w:right="0" w:firstLine="0"/>
        <w:jc w:val="left"/>
        <w:rPr>
          <w:rFonts w:ascii="Times" w:cs="Times" w:hAnsi="Times" w:eastAsia="Times"/>
          <w:sz w:val="24"/>
          <w:szCs w:val="24"/>
          <w:rtl w:val="0"/>
        </w:rPr>
      </w:pPr>
      <w:r>
        <w:rPr>
          <w:rFonts w:ascii="Times"/>
          <w:sz w:val="30"/>
          <w:szCs w:val="30"/>
          <w:rtl w:val="0"/>
          <w:lang w:val="en-US"/>
        </w:rPr>
        <w:t xml:space="preserve">formal assessment of the community to help in under- standing the community. </w:t>
      </w:r>
    </w:p>
    <w:p>
      <w:pPr>
        <w:pStyle w:val="Default"/>
        <w:bidi w:val="0"/>
        <w:spacing w:after="240" w:line="480" w:lineRule="auto"/>
        <w:ind w:left="0" w:right="0" w:firstLine="0"/>
        <w:jc w:val="left"/>
        <w:rPr>
          <w:rFonts w:ascii="Times" w:cs="Times" w:hAnsi="Times" w:eastAsia="Times"/>
          <w:sz w:val="24"/>
          <w:szCs w:val="24"/>
          <w:rtl w:val="0"/>
        </w:rPr>
      </w:pPr>
      <w:r>
        <w:rPr>
          <w:rFonts w:ascii="Times"/>
          <w:sz w:val="30"/>
          <w:szCs w:val="30"/>
          <w:rtl w:val="0"/>
          <w:lang w:val="en-US"/>
        </w:rPr>
        <w:t xml:space="preserve">A windshield survey is the first step in taking the puls of the community. The questions a windshield survey ca begin to answer include: </w:t>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sz w:val="30"/>
          <w:szCs w:val="30"/>
          <w:rtl w:val="0"/>
        </w:rPr>
        <w:tab/>
        <w:t>•</w:t>
        <w:tab/>
      </w:r>
      <w:r>
        <w:rPr>
          <w:rFonts w:ascii="Times"/>
          <w:sz w:val="30"/>
          <w:szCs w:val="30"/>
          <w:rtl w:val="0"/>
          <w:lang w:val="en-US"/>
        </w:rPr>
        <w:t xml:space="preserve">Are there obvious health-related problems? </w:t>
      </w:r>
      <w:r>
        <w:rPr>
          <w:rFonts w:ascii="Times" w:cs="Times" w:hAnsi="Times" w:eastAsia="Times"/>
          <w:sz w:val="30"/>
          <w:szCs w:val="30"/>
          <w:rtl w:val="0"/>
        </w:rPr>
        <w:br w:type="textWrapping"/>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sz w:val="30"/>
          <w:szCs w:val="30"/>
          <w:rtl w:val="0"/>
        </w:rPr>
        <w:tab/>
        <w:t>•</w:t>
        <w:tab/>
      </w:r>
      <w:r>
        <w:rPr>
          <w:rFonts w:ascii="Times"/>
          <w:sz w:val="30"/>
          <w:szCs w:val="30"/>
          <w:rtl w:val="0"/>
          <w:lang w:val="en-US"/>
        </w:rPr>
        <w:t xml:space="preserve">What is the perspective of the media in relation to </w:t>
      </w:r>
      <w:r>
        <w:rPr>
          <w:rFonts w:ascii="Times" w:cs="Times" w:hAnsi="Times" w:eastAsia="Times"/>
          <w:sz w:val="30"/>
          <w:szCs w:val="30"/>
          <w:rtl w:val="0"/>
        </w:rPr>
        <w:br w:type="textWrapping"/>
      </w:r>
      <w:r>
        <w:rPr>
          <w:rFonts w:ascii="Times"/>
          <w:sz w:val="30"/>
          <w:szCs w:val="30"/>
          <w:rtl w:val="0"/>
          <w:lang w:val="en-US"/>
        </w:rPr>
        <w:t xml:space="preserve">the community? </w:t>
      </w:r>
      <w:r>
        <w:rPr>
          <w:rFonts w:ascii="Times" w:cs="Times" w:hAnsi="Times" w:eastAsia="Times"/>
          <w:sz w:val="30"/>
          <w:szCs w:val="30"/>
          <w:rtl w:val="0"/>
        </w:rPr>
        <w:br w:type="textWrapping"/>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sz w:val="30"/>
          <w:szCs w:val="30"/>
          <w:rtl w:val="0"/>
        </w:rPr>
        <w:tab/>
        <w:t>•</w:t>
        <w:tab/>
      </w:r>
      <w:r>
        <w:rPr>
          <w:rFonts w:ascii="Times"/>
          <w:sz w:val="30"/>
          <w:szCs w:val="30"/>
          <w:rtl w:val="0"/>
          <w:lang w:val="en-US"/>
        </w:rPr>
        <w:t xml:space="preserve">What does the community look like? Just by driving </w:t>
      </w:r>
      <w:r>
        <w:rPr>
          <w:rFonts w:ascii="Times" w:cs="Times" w:hAnsi="Times" w:eastAsia="Times"/>
          <w:sz w:val="30"/>
          <w:szCs w:val="30"/>
          <w:rtl w:val="0"/>
        </w:rPr>
        <w:br w:type="textWrapping"/>
      </w:r>
      <w:r>
        <w:rPr>
          <w:rFonts w:ascii="Times"/>
          <w:sz w:val="30"/>
          <w:szCs w:val="30"/>
          <w:rtl w:val="0"/>
          <w:lang w:val="en-US"/>
        </w:rPr>
        <w:t xml:space="preserve">around, key issues related to the environmental health of the community can be observed, such as the number of for-sale signs, the amount of green space, the number of bars, the number of churches, the number of open (or closed) businesses and the gen- eral upkeep of the community. Clean streets, well- kept parks, busy grocery stores, and religious places of worship with multiple services offered are signs o a healthy community. In contrast, trash in the streets, vacant lots, multiple bars, vacant places of worship, boarded-up businesses, and a lack of grocery stores are all visual indicators of a community that may have some serious health challenges. </w:t>
      </w:r>
      <w:r>
        <w:rPr>
          <w:rFonts w:ascii="Times" w:cs="Times" w:hAnsi="Times" w:eastAsia="Times"/>
          <w:sz w:val="30"/>
          <w:szCs w:val="30"/>
          <w:rtl w:val="0"/>
        </w:rPr>
        <w:br w:type="textWrapping"/>
      </w:r>
      <w:r>
        <w:rPr>
          <w:rFonts w:ascii="Times"/>
          <w:sz w:val="30"/>
          <w:szCs w:val="30"/>
          <w:rtl w:val="0"/>
          <w:lang w:val="en-US"/>
        </w:rPr>
        <w:t xml:space="preserve">A windshield survey can also provide information on the demographics of a community. Observations made while driving through (or walking around) can provide a beginning understanding of the age groups in the com- munity simply by observing how many children, older adults, or young people are on the street. This can be time dependent. For example, in the early morning young mothers and children may be observed as the children walk to the school. Later in the morning older adults may be ob- served. One approach to observing formal institutions within a community is to use the </w:t>
      </w:r>
      <w:r>
        <w:rPr>
          <w:rFonts w:ascii="Times"/>
          <w:b w:val="1"/>
          <w:bCs w:val="1"/>
          <w:color w:val="cb1c28"/>
          <w:sz w:val="30"/>
          <w:szCs w:val="30"/>
          <w:rtl w:val="0"/>
          <w:lang w:val="en-US"/>
        </w:rPr>
        <w:t xml:space="preserve">Kinship/Economics/ Education/Political/Religious/Associations (KEEPRA) </w:t>
      </w:r>
      <w:r>
        <w:rPr>
          <w:rFonts w:ascii="Times"/>
          <w:sz w:val="30"/>
          <w:szCs w:val="30"/>
          <w:rtl w:val="0"/>
          <w:lang w:val="en-US"/>
        </w:rPr>
        <w:t xml:space="preserve">acronym. It provides a list of categories to consider while collecting observational related data: </w:t>
      </w:r>
      <w:r>
        <w:rPr>
          <w:rFonts w:ascii="Times" w:cs="Times" w:hAnsi="Times" w:eastAsia="Times"/>
          <w:sz w:val="30"/>
          <w:szCs w:val="30"/>
          <w:rtl w:val="0"/>
        </w:rPr>
        <w:br w:type="textWrapping"/>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i w:val="1"/>
          <w:iCs w:val="1"/>
          <w:sz w:val="30"/>
          <w:szCs w:val="30"/>
          <w:rtl w:val="0"/>
        </w:rPr>
        <w:tab/>
        <w:t>•</w:t>
        <w:tab/>
      </w:r>
      <w:r>
        <w:rPr>
          <w:rFonts w:ascii="Times"/>
          <w:i w:val="1"/>
          <w:iCs w:val="1"/>
          <w:sz w:val="30"/>
          <w:szCs w:val="30"/>
          <w:rtl w:val="0"/>
          <w:lang w:val="en-US"/>
        </w:rPr>
        <w:t>Kinship</w:t>
      </w:r>
      <w:r>
        <w:rPr>
          <w:rFonts w:hAnsi="Times" w:hint="default"/>
          <w:sz w:val="30"/>
          <w:szCs w:val="30"/>
          <w:rtl w:val="0"/>
        </w:rPr>
        <w:t>—</w:t>
      </w:r>
      <w:r>
        <w:rPr>
          <w:rFonts w:ascii="Times"/>
          <w:sz w:val="30"/>
          <w:szCs w:val="30"/>
          <w:rtl w:val="0"/>
          <w:lang w:val="en-US"/>
        </w:rPr>
        <w:t xml:space="preserve">What observations can you make about family and family life? </w:t>
      </w:r>
      <w:r>
        <w:rPr>
          <w:rFonts w:ascii="Times" w:cs="Times" w:hAnsi="Times" w:eastAsia="Times"/>
          <w:sz w:val="30"/>
          <w:szCs w:val="30"/>
          <w:rtl w:val="0"/>
        </w:rPr>
        <w:br w:type="textWrapping"/>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i w:val="1"/>
          <w:iCs w:val="1"/>
          <w:sz w:val="30"/>
          <w:szCs w:val="30"/>
          <w:rtl w:val="0"/>
        </w:rPr>
        <w:tab/>
        <w:t>•</w:t>
        <w:tab/>
      </w:r>
      <w:r>
        <w:rPr>
          <w:rFonts w:ascii="Times"/>
          <w:i w:val="1"/>
          <w:iCs w:val="1"/>
          <w:sz w:val="30"/>
          <w:szCs w:val="30"/>
          <w:rtl w:val="0"/>
        </w:rPr>
        <w:t>Economics</w:t>
      </w:r>
      <w:r>
        <w:rPr>
          <w:rFonts w:hAnsi="Times" w:hint="default"/>
          <w:i w:val="1"/>
          <w:iCs w:val="1"/>
          <w:sz w:val="30"/>
          <w:szCs w:val="30"/>
          <w:rtl w:val="0"/>
        </w:rPr>
        <w:t>—</w:t>
      </w:r>
      <w:r>
        <w:rPr>
          <w:rFonts w:ascii="Times"/>
          <w:sz w:val="30"/>
          <w:szCs w:val="30"/>
          <w:rtl w:val="0"/>
          <w:lang w:val="en-US"/>
        </w:rPr>
        <w:t xml:space="preserve">Does the community appear to have a stable economy or are there signs of economic decline or economic growth? </w:t>
      </w:r>
      <w:r>
        <w:rPr>
          <w:rFonts w:ascii="Times" w:cs="Times" w:hAnsi="Times" w:eastAsia="Times"/>
          <w:sz w:val="30"/>
          <w:szCs w:val="30"/>
          <w:rtl w:val="0"/>
        </w:rPr>
        <w:br w:type="textWrapping"/>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i w:val="1"/>
          <w:iCs w:val="1"/>
          <w:sz w:val="30"/>
          <w:szCs w:val="30"/>
          <w:rtl w:val="0"/>
        </w:rPr>
        <w:tab/>
        <w:t>•</w:t>
        <w:tab/>
      </w:r>
      <w:r>
        <w:rPr>
          <w:rFonts w:ascii="Times"/>
          <w:i w:val="1"/>
          <w:iCs w:val="1"/>
          <w:sz w:val="30"/>
          <w:szCs w:val="30"/>
          <w:rtl w:val="0"/>
          <w:lang w:val="en-US"/>
        </w:rPr>
        <w:t>Education</w:t>
      </w:r>
      <w:r>
        <w:rPr>
          <w:rFonts w:hAnsi="Times" w:hint="default"/>
          <w:i w:val="1"/>
          <w:iCs w:val="1"/>
          <w:sz w:val="30"/>
          <w:szCs w:val="30"/>
          <w:rtl w:val="0"/>
        </w:rPr>
        <w:t>—</w:t>
      </w:r>
      <w:r>
        <w:rPr>
          <w:rFonts w:ascii="Times"/>
          <w:sz w:val="30"/>
          <w:szCs w:val="30"/>
          <w:rtl w:val="0"/>
          <w:lang w:val="en-US"/>
        </w:rPr>
        <w:t xml:space="preserve">What observations can you make related to schools and other educational institutions such as libraries and museums? </w:t>
      </w:r>
      <w:r>
        <w:rPr>
          <w:rFonts w:ascii="Times" w:cs="Times" w:hAnsi="Times" w:eastAsia="Times"/>
          <w:sz w:val="30"/>
          <w:szCs w:val="30"/>
          <w:rtl w:val="0"/>
        </w:rPr>
        <w:br w:type="textWrapping"/>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i w:val="1"/>
          <w:iCs w:val="1"/>
          <w:sz w:val="30"/>
          <w:szCs w:val="30"/>
          <w:rtl w:val="0"/>
        </w:rPr>
        <w:tab/>
        <w:t>•</w:t>
        <w:tab/>
      </w:r>
      <w:r>
        <w:rPr>
          <w:rFonts w:ascii="Times"/>
          <w:i w:val="1"/>
          <w:iCs w:val="1"/>
          <w:sz w:val="30"/>
          <w:szCs w:val="30"/>
          <w:rtl w:val="0"/>
          <w:lang w:val="en-US"/>
        </w:rPr>
        <w:t>Political</w:t>
      </w:r>
      <w:r>
        <w:rPr>
          <w:rFonts w:hAnsi="Times" w:hint="default"/>
          <w:sz w:val="30"/>
          <w:szCs w:val="30"/>
          <w:rtl w:val="0"/>
        </w:rPr>
        <w:t>—</w:t>
      </w:r>
      <w:r>
        <w:rPr>
          <w:rFonts w:ascii="Times"/>
          <w:sz w:val="30"/>
          <w:szCs w:val="30"/>
          <w:rtl w:val="0"/>
          <w:lang w:val="en-US"/>
        </w:rPr>
        <w:t>Is there evidence of political activity in the community such as signs supporting someone</w:t>
      </w:r>
      <w:r>
        <w:rPr>
          <w:rFonts w:hAnsi="Times" w:hint="default"/>
          <w:sz w:val="30"/>
          <w:szCs w:val="30"/>
          <w:rtl w:val="0"/>
          <w:lang w:val="fr-FR"/>
        </w:rPr>
        <w:t>’</w:t>
      </w:r>
      <w:r>
        <w:rPr>
          <w:rFonts w:ascii="Times"/>
          <w:sz w:val="30"/>
          <w:szCs w:val="30"/>
          <w:rtl w:val="0"/>
          <w:lang w:val="en-US"/>
        </w:rPr>
        <w:t xml:space="preserve">s candidacy for elected office </w:t>
      </w:r>
      <w:r>
        <w:rPr>
          <w:rFonts w:ascii="Times" w:cs="Times" w:hAnsi="Times" w:eastAsia="Times"/>
          <w:sz w:val="30"/>
          <w:szCs w:val="30"/>
          <w:rtl w:val="0"/>
        </w:rPr>
        <w:br w:type="textWrapping"/>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i w:val="1"/>
          <w:iCs w:val="1"/>
          <w:sz w:val="30"/>
          <w:szCs w:val="30"/>
          <w:rtl w:val="0"/>
        </w:rPr>
        <w:tab/>
        <w:t>•</w:t>
        <w:tab/>
      </w:r>
      <w:r>
        <w:rPr>
          <w:rFonts w:ascii="Times"/>
          <w:i w:val="1"/>
          <w:iCs w:val="1"/>
          <w:sz w:val="30"/>
          <w:szCs w:val="30"/>
          <w:rtl w:val="0"/>
          <w:lang w:val="en-US"/>
        </w:rPr>
        <w:t>Religious</w:t>
      </w:r>
      <w:r>
        <w:rPr>
          <w:rFonts w:hAnsi="Times" w:hint="default"/>
          <w:sz w:val="30"/>
          <w:szCs w:val="30"/>
          <w:rtl w:val="0"/>
        </w:rPr>
        <w:t>—</w:t>
      </w:r>
      <w:r>
        <w:rPr>
          <w:rFonts w:ascii="Times"/>
          <w:sz w:val="30"/>
          <w:szCs w:val="30"/>
          <w:rtl w:val="0"/>
          <w:lang w:val="en-US"/>
        </w:rPr>
        <w:t xml:space="preserve">Are there any mosques, churches, or synagogues in the community? </w:t>
      </w:r>
      <w:r>
        <w:rPr>
          <w:rFonts w:ascii="Times" w:cs="Times" w:hAnsi="Times" w:eastAsia="Times"/>
          <w:sz w:val="30"/>
          <w:szCs w:val="30"/>
          <w:rtl w:val="0"/>
        </w:rPr>
        <w:br w:type="textWrapping"/>
      </w:r>
    </w:p>
    <w:p>
      <w:pPr>
        <w:pStyle w:val="Default"/>
        <w:bidi w:val="0"/>
        <w:spacing w:after="240" w:line="480" w:lineRule="auto"/>
        <w:ind w:left="0" w:right="0" w:firstLine="0"/>
        <w:jc w:val="left"/>
        <w:rPr>
          <w:rFonts w:ascii="Times" w:cs="Times" w:hAnsi="Times" w:eastAsia="Times"/>
          <w:sz w:val="24"/>
          <w:szCs w:val="24"/>
          <w:rtl w:val="0"/>
        </w:rPr>
      </w:pPr>
      <w:r>
        <w:rPr>
          <w:rFonts w:hAnsi="Times" w:hint="default"/>
          <w:sz w:val="30"/>
          <w:szCs w:val="30"/>
          <w:rtl w:val="0"/>
        </w:rPr>
        <w:t xml:space="preserve">• </w:t>
      </w:r>
      <w:r>
        <w:rPr>
          <w:rFonts w:ascii="Times"/>
          <w:i w:val="1"/>
          <w:iCs w:val="1"/>
          <w:sz w:val="30"/>
          <w:szCs w:val="30"/>
          <w:rtl w:val="0"/>
          <w:lang w:val="en-US"/>
        </w:rPr>
        <w:t>Associations</w:t>
      </w:r>
      <w:r>
        <w:rPr>
          <w:rFonts w:hAnsi="Times" w:hint="default"/>
          <w:i w:val="1"/>
          <w:iCs w:val="1"/>
          <w:sz w:val="30"/>
          <w:szCs w:val="30"/>
          <w:rtl w:val="0"/>
        </w:rPr>
        <w:t>—</w:t>
      </w:r>
      <w:r>
        <w:rPr>
          <w:rFonts w:ascii="Times"/>
          <w:sz w:val="30"/>
          <w:szCs w:val="30"/>
          <w:rtl w:val="0"/>
          <w:lang w:val="en-US"/>
        </w:rPr>
        <w:t xml:space="preserve">What evidence do you see of neighbor- hood associations? Business associations? What other resources are present such as recreation centers? </w:t>
      </w:r>
    </w:p>
    <w:p>
      <w:pPr>
        <w:pStyle w:val="Default"/>
        <w:bidi w:val="0"/>
        <w:spacing w:after="240" w:line="480" w:lineRule="auto"/>
        <w:ind w:left="0" w:right="0" w:firstLine="0"/>
        <w:jc w:val="left"/>
        <w:rPr>
          <w:rFonts w:ascii="Times" w:cs="Times" w:hAnsi="Times" w:eastAsia="Times"/>
          <w:sz w:val="24"/>
          <w:szCs w:val="24"/>
          <w:rtl w:val="0"/>
        </w:rPr>
      </w:pPr>
      <w:r>
        <w:rPr>
          <w:rFonts w:ascii="Times"/>
          <w:sz w:val="30"/>
          <w:szCs w:val="30"/>
          <w:rtl w:val="0"/>
          <w:lang w:val="en-US"/>
        </w:rPr>
        <w:t xml:space="preserve">Using the CHANGE list of sectors is another possible approach to conducting an observational review of the formal institutions in a community: </w:t>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i w:val="1"/>
          <w:iCs w:val="1"/>
          <w:sz w:val="30"/>
          <w:szCs w:val="30"/>
          <w:rtl w:val="0"/>
        </w:rPr>
        <w:tab/>
        <w:t>•</w:t>
        <w:tab/>
      </w:r>
      <w:r>
        <w:rPr>
          <w:rFonts w:ascii="Times"/>
          <w:i w:val="1"/>
          <w:iCs w:val="1"/>
          <w:sz w:val="30"/>
          <w:szCs w:val="30"/>
          <w:rtl w:val="0"/>
          <w:lang w:val="en-US"/>
        </w:rPr>
        <w:t xml:space="preserve">Community-at-Large Sector </w:t>
      </w:r>
      <w:r>
        <w:rPr>
          <w:rFonts w:ascii="Times"/>
          <w:sz w:val="30"/>
          <w:szCs w:val="30"/>
          <w:rtl w:val="0"/>
          <w:lang w:val="en-US"/>
        </w:rPr>
        <w:t xml:space="preserve">includes community- wide efforts that have an impact on the social an built environments such as improving food access, walkability or bikeability, tobacco use and exposure, or personal safety. </w:t>
      </w:r>
      <w:r>
        <w:rPr>
          <w:rFonts w:ascii="Times" w:cs="Times" w:hAnsi="Times" w:eastAsia="Times"/>
          <w:sz w:val="30"/>
          <w:szCs w:val="30"/>
          <w:rtl w:val="0"/>
        </w:rPr>
        <w:br w:type="textWrapping"/>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i w:val="1"/>
          <w:iCs w:val="1"/>
          <w:sz w:val="30"/>
          <w:szCs w:val="30"/>
          <w:rtl w:val="0"/>
        </w:rPr>
        <w:tab/>
        <w:t>•</w:t>
        <w:tab/>
      </w:r>
      <w:r>
        <w:rPr>
          <w:rFonts w:ascii="Times"/>
          <w:i w:val="1"/>
          <w:iCs w:val="1"/>
          <w:sz w:val="30"/>
          <w:szCs w:val="30"/>
          <w:rtl w:val="0"/>
          <w:lang w:val="en-US"/>
        </w:rPr>
        <w:t xml:space="preserve">Community Institution/Organization Sector </w:t>
      </w:r>
      <w:r>
        <w:rPr>
          <w:rFonts w:ascii="Times"/>
          <w:sz w:val="30"/>
          <w:szCs w:val="30"/>
          <w:rtl w:val="0"/>
          <w:lang w:val="en-US"/>
        </w:rPr>
        <w:t xml:space="preserve">includes entities within the community that provide a broad range of human services and access to facilities such as childcare settings, faith-based organizations, senior centers, boys and girls clubs, YMCAs, and colleges or universities. </w:t>
      </w:r>
      <w:r>
        <w:rPr>
          <w:rFonts w:ascii="Times" w:cs="Times" w:hAnsi="Times" w:eastAsia="Times"/>
          <w:sz w:val="30"/>
          <w:szCs w:val="30"/>
          <w:rtl w:val="0"/>
        </w:rPr>
        <w:br w:type="textWrapping"/>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i w:val="1"/>
          <w:iCs w:val="1"/>
          <w:sz w:val="30"/>
          <w:szCs w:val="30"/>
          <w:rtl w:val="0"/>
        </w:rPr>
        <w:tab/>
        <w:t>•</w:t>
        <w:tab/>
      </w:r>
      <w:r>
        <w:rPr>
          <w:rFonts w:ascii="Times"/>
          <w:i w:val="1"/>
          <w:iCs w:val="1"/>
          <w:sz w:val="30"/>
          <w:szCs w:val="30"/>
          <w:rtl w:val="0"/>
          <w:lang w:val="en-US"/>
        </w:rPr>
        <w:t xml:space="preserve">Health-Care Sector </w:t>
      </w:r>
      <w:r>
        <w:rPr>
          <w:rFonts w:ascii="Times"/>
          <w:sz w:val="30"/>
          <w:szCs w:val="30"/>
          <w:rtl w:val="0"/>
          <w:lang w:val="en-US"/>
        </w:rPr>
        <w:t>includes places where people go to receive preventive care or treatment, or emergency health-care services such as hospitals, private doc- tors</w:t>
      </w:r>
      <w:r>
        <w:rPr>
          <w:rFonts w:hAnsi="Times" w:hint="default"/>
          <w:sz w:val="30"/>
          <w:szCs w:val="30"/>
          <w:rtl w:val="0"/>
          <w:lang w:val="fr-FR"/>
        </w:rPr>
        <w:t xml:space="preserve">’ </w:t>
      </w:r>
      <w:r>
        <w:rPr>
          <w:rFonts w:ascii="Times"/>
          <w:sz w:val="30"/>
          <w:szCs w:val="30"/>
          <w:rtl w:val="0"/>
          <w:lang w:val="en-US"/>
        </w:rPr>
        <w:t xml:space="preserve">offices, and community clinics </w:t>
      </w:r>
      <w:r>
        <w:rPr>
          <w:rFonts w:ascii="Times" w:cs="Times" w:hAnsi="Times" w:eastAsia="Times"/>
          <w:sz w:val="30"/>
          <w:szCs w:val="30"/>
          <w:rtl w:val="0"/>
        </w:rPr>
        <w:br w:type="textWrapping"/>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i w:val="1"/>
          <w:iCs w:val="1"/>
          <w:sz w:val="30"/>
          <w:szCs w:val="30"/>
          <w:rtl w:val="0"/>
        </w:rPr>
        <w:tab/>
        <w:t>•</w:t>
        <w:tab/>
      </w:r>
      <w:r>
        <w:rPr>
          <w:rFonts w:ascii="Times"/>
          <w:i w:val="1"/>
          <w:iCs w:val="1"/>
          <w:sz w:val="30"/>
          <w:szCs w:val="30"/>
          <w:rtl w:val="0"/>
          <w:lang w:val="en-US"/>
        </w:rPr>
        <w:t xml:space="preserve">School Sector </w:t>
      </w:r>
      <w:r>
        <w:rPr>
          <w:rFonts w:ascii="Times"/>
          <w:sz w:val="30"/>
          <w:szCs w:val="30"/>
          <w:rtl w:val="0"/>
          <w:lang w:val="en-US"/>
        </w:rPr>
        <w:t xml:space="preserve">includes all primary and secondary learning institutions (e.g., elementary, middle, and high schools, whether private, public, or parochial). </w:t>
      </w:r>
      <w:r>
        <w:rPr>
          <w:rFonts w:ascii="Times" w:cs="Times" w:hAnsi="Times" w:eastAsia="Times"/>
          <w:sz w:val="30"/>
          <w:szCs w:val="30"/>
          <w:rtl w:val="0"/>
        </w:rPr>
        <w:br w:type="textWrapping"/>
      </w:r>
    </w:p>
    <w:p>
      <w:pPr>
        <w:pStyle w:val="Default"/>
        <w:tabs>
          <w:tab w:val="left" w:pos="220"/>
          <w:tab w:val="left" w:pos="720"/>
        </w:tabs>
        <w:bidi w:val="0"/>
        <w:spacing w:after="293" w:line="480" w:lineRule="auto"/>
        <w:ind w:left="720" w:right="0" w:hanging="720"/>
        <w:jc w:val="left"/>
        <w:rPr>
          <w:rFonts w:ascii="Times" w:cs="Times" w:hAnsi="Times" w:eastAsia="Times"/>
          <w:sz w:val="30"/>
          <w:szCs w:val="30"/>
          <w:rtl w:val="0"/>
        </w:rPr>
      </w:pPr>
      <w:r>
        <w:rPr>
          <w:rFonts w:ascii="Times" w:cs="Times" w:hAnsi="Times" w:eastAsia="Times"/>
          <w:i w:val="1"/>
          <w:iCs w:val="1"/>
          <w:sz w:val="30"/>
          <w:szCs w:val="30"/>
          <w:rtl w:val="0"/>
        </w:rPr>
        <w:tab/>
        <w:t>•</w:t>
        <w:tab/>
      </w:r>
      <w:r>
        <w:rPr>
          <w:rFonts w:ascii="Times"/>
          <w:i w:val="1"/>
          <w:iCs w:val="1"/>
          <w:sz w:val="30"/>
          <w:szCs w:val="30"/>
          <w:rtl w:val="0"/>
          <w:lang w:val="es-ES_tradnl"/>
        </w:rPr>
        <w:t xml:space="preserve">Work Site Sector </w:t>
      </w:r>
      <w:r>
        <w:rPr>
          <w:rFonts w:ascii="Times"/>
          <w:sz w:val="30"/>
          <w:szCs w:val="30"/>
          <w:rtl w:val="0"/>
          <w:lang w:val="en-US"/>
        </w:rPr>
        <w:t xml:space="preserve">includes places of employment such as private offices, restaurants, retail establishment and government office </w:t>
      </w:r>
      <w:r>
        <w:rPr>
          <w:rFonts w:ascii="Times"/>
          <w:position w:val="8"/>
          <w:sz w:val="18"/>
          <w:szCs w:val="18"/>
          <w:rtl w:val="0"/>
        </w:rPr>
        <w:t xml:space="preserve">15 </w:t>
      </w:r>
      <w:r>
        <w:rPr>
          <w:rFonts w:ascii="Times" w:cs="Times" w:hAnsi="Times" w:eastAsia="Times"/>
          <w:sz w:val="30"/>
          <w:szCs w:val="30"/>
          <w:rtl w:val="0"/>
        </w:rPr>
        <w:br w:type="textWrapping"/>
      </w:r>
      <w:r>
        <w:rPr>
          <w:rFonts w:ascii="Times"/>
          <w:color w:val="cb1c28"/>
          <w:sz w:val="32"/>
          <w:szCs w:val="32"/>
          <w:rtl w:val="0"/>
          <w:lang w:val="en-US"/>
        </w:rPr>
        <w:t xml:space="preserve">Secondary Community Health Data Collection </w:t>
      </w:r>
      <w:r>
        <w:rPr>
          <w:rFonts w:ascii="Times" w:cs="Times" w:hAnsi="Times" w:eastAsia="Times"/>
          <w:sz w:val="30"/>
          <w:szCs w:val="30"/>
          <w:rtl w:val="0"/>
        </w:rPr>
        <w:br w:type="textWrapping"/>
      </w:r>
      <w:r>
        <w:rPr>
          <w:rFonts w:ascii="Times"/>
          <w:sz w:val="30"/>
          <w:szCs w:val="30"/>
          <w:rtl w:val="0"/>
          <w:lang w:val="en-US"/>
        </w:rPr>
        <w:t xml:space="preserve">Once the windshield survey is complete it is often helpfu to review secondary data prior to collecting more pri- mary data. </w:t>
      </w:r>
      <w:r>
        <w:rPr>
          <w:rFonts w:ascii="Times"/>
          <w:b w:val="1"/>
          <w:bCs w:val="1"/>
          <w:color w:val="cb1c28"/>
          <w:sz w:val="30"/>
          <w:szCs w:val="30"/>
          <w:rtl w:val="0"/>
          <w:lang w:val="en-US"/>
        </w:rPr>
        <w:t xml:space="preserve">Secondary data </w:t>
      </w:r>
      <w:r>
        <w:rPr>
          <w:rFonts w:ascii="Times"/>
          <w:sz w:val="30"/>
          <w:szCs w:val="30"/>
          <w:rtl w:val="0"/>
          <w:lang w:val="en-US"/>
        </w:rPr>
        <w:t xml:space="preserve">are data that were collected for a purpose other than the current assessment such as census data, crime report data, or national health survey data. These sources of community data are often acce sible via the Internet. </w:t>
      </w:r>
      <w:r>
        <w:rPr>
          <w:rFonts w:ascii="Times" w:cs="Times" w:hAnsi="Times" w:eastAsia="Times"/>
          <w:sz w:val="30"/>
          <w:szCs w:val="30"/>
          <w:rtl w:val="0"/>
        </w:rPr>
        <w:br w:type="textWrapping"/>
      </w:r>
      <w:r>
        <w:rPr>
          <w:rFonts w:ascii="Times"/>
          <w:sz w:val="30"/>
          <w:szCs w:val="30"/>
          <w:rtl w:val="0"/>
          <w:lang w:val="en-US"/>
        </w:rPr>
        <w:t xml:space="preserve">An essential component of a community health as- sessment is the review of sociodemographic data. From a geographical perspective, the team can access census data relevant to their community from the U.S. Census Bureau. These data provide the team with informatio on the number of people in their community; the num- ber of households; and information related to age, gen- der, marital status, occupation, income, education, and race/ethnicity. Census data in the United States are col- lected every 10 years by the U.S. Census Bureau. The dat are reported at the aggregate level based on geopolitical perspective. Aggregate data are obtainable at the na- tional, state, county, metropolitan area, city, town, census track, or census block. According to the U.S. Census </w:t>
      </w:r>
      <w:r>
        <w:rPr>
          <w:rFonts w:ascii="Times" w:cs="Times" w:hAnsi="Times" w:eastAsia="Times"/>
          <w:sz w:val="30"/>
          <w:szCs w:val="30"/>
          <w:rtl w:val="0"/>
        </w:rPr>
        <w:br w:type="textWrapping"/>
      </w:r>
    </w:p>
    <w:p>
      <w:pPr>
        <w:pStyle w:val="Default"/>
        <w:bidi w:val="0"/>
        <w:spacing w:after="240" w:line="480" w:lineRule="auto"/>
        <w:ind w:left="0" w:right="0" w:firstLine="0"/>
        <w:jc w:val="left"/>
        <w:rPr>
          <w:rFonts w:ascii="Times" w:cs="Times" w:hAnsi="Times" w:eastAsia="Times"/>
          <w:sz w:val="24"/>
          <w:szCs w:val="24"/>
          <w:rtl w:val="0"/>
        </w:rPr>
      </w:pPr>
      <w:r>
        <w:rPr>
          <w:rFonts w:ascii="Times"/>
          <w:sz w:val="30"/>
          <w:szCs w:val="30"/>
          <w:rtl w:val="0"/>
        </w:rPr>
        <w:t xml:space="preserve">Bureau a </w:t>
      </w:r>
      <w:r>
        <w:rPr>
          <w:rFonts w:ascii="Times"/>
          <w:b w:val="1"/>
          <w:bCs w:val="1"/>
          <w:color w:val="cb1c28"/>
          <w:sz w:val="30"/>
          <w:szCs w:val="30"/>
          <w:rtl w:val="0"/>
          <w:lang w:val="en-US"/>
        </w:rPr>
        <w:t xml:space="preserve">census tract </w:t>
      </w:r>
      <w:r>
        <w:rPr>
          <w:rFonts w:ascii="Times"/>
          <w:sz w:val="30"/>
          <w:szCs w:val="30"/>
          <w:rtl w:val="0"/>
          <w:lang w:val="en-US"/>
        </w:rPr>
        <w:t xml:space="preserve">is a relatively permanent statistical subdivision of a county that averages between 2,500 and 8,000 inhabitants and that is designed to be homoge- neous with respect to population characteristics and eco- nomic status. A </w:t>
      </w:r>
      <w:r>
        <w:rPr>
          <w:rFonts w:ascii="Times"/>
          <w:i w:val="1"/>
          <w:iCs w:val="1"/>
          <w:sz w:val="30"/>
          <w:szCs w:val="30"/>
          <w:rtl w:val="0"/>
          <w:lang w:val="da-DK"/>
        </w:rPr>
        <w:t xml:space="preserve">census block </w:t>
      </w:r>
      <w:r>
        <w:rPr>
          <w:rFonts w:ascii="Times"/>
          <w:sz w:val="30"/>
          <w:szCs w:val="30"/>
          <w:rtl w:val="0"/>
          <w:lang w:val="en-US"/>
        </w:rPr>
        <w:t>is an area that is bounded on all sides by visible features. Examples of boundaries provided by the U.S. Census Bureau include visible boundaries such as roads, streams, and railroad tracks, and by invisible boundaries such as the geographical lim- its of a city or county. Typically, it is a smaller geograph- ical area, but in some rural areas a census block may be large.</w:t>
      </w:r>
      <w:r>
        <w:rPr>
          <w:rFonts w:ascii="Times"/>
          <w:position w:val="8"/>
          <w:sz w:val="18"/>
          <w:szCs w:val="18"/>
          <w:rtl w:val="0"/>
        </w:rPr>
        <w:t xml:space="preserve">46 </w:t>
      </w:r>
      <w:r>
        <w:rPr>
          <w:rFonts w:ascii="Times"/>
          <w:sz w:val="30"/>
          <w:szCs w:val="30"/>
          <w:rtl w:val="0"/>
          <w:lang w:val="en-US"/>
        </w:rPr>
        <w:t xml:space="preserve">The data provide a snapshot of the population every 10 years. In between those years changes may occur and local data may be needed to supplement census data especially toward the end of a decade. </w:t>
      </w:r>
    </w:p>
    <w:p>
      <w:pPr>
        <w:pStyle w:val="Default"/>
        <w:bidi w:val="0"/>
        <w:spacing w:after="240" w:line="480" w:lineRule="auto"/>
        <w:ind w:left="0" w:right="0" w:firstLine="0"/>
        <w:jc w:val="left"/>
        <w:rPr>
          <w:rFonts w:ascii="Times" w:cs="Times" w:hAnsi="Times" w:eastAsia="Times"/>
          <w:sz w:val="24"/>
          <w:szCs w:val="24"/>
          <w:rtl w:val="0"/>
        </w:rPr>
      </w:pPr>
      <w:r>
        <w:rPr>
          <w:rFonts w:ascii="Times"/>
          <w:sz w:val="30"/>
          <w:szCs w:val="30"/>
          <w:rtl w:val="0"/>
          <w:lang w:val="en-US"/>
        </w:rPr>
        <w:t xml:space="preserve">Another source of secondary health data at the aggre- gate level about a community can be obtained from a public health department. Examples of public health in- formation related to morbidity and mortality in a com- munity include the crude mortality rate, the infant mortality rate, motor vehicle crash rate, and the inci- dence and prevalence rates of communicable and non- communicable diseases. To get a better understanding of the rates, it helps to obtain age-specific mortality rate for leading causes of death and age-adjusted, race-, or sex-specific mortality rates. An example of Web-based sources of health-related aggregate data at the county level is the Web site maintained by the University of Wis- consin Population Health Institute and sponsored by the Robert Wood Johnson Foundation. It provides informa- tion on health indicators at the county level with com- parative statistics at the state and national levels. </w:t>
      </w:r>
      <w:r>
        <w:rPr>
          <w:rFonts w:ascii="Times"/>
          <w:position w:val="8"/>
          <w:sz w:val="18"/>
          <w:szCs w:val="18"/>
          <w:rtl w:val="0"/>
        </w:rPr>
        <w:t xml:space="preserve">47 </w:t>
      </w:r>
      <w:r>
        <w:rPr>
          <w:rFonts w:ascii="Times"/>
          <w:sz w:val="30"/>
          <w:szCs w:val="30"/>
          <w:rtl w:val="0"/>
          <w:lang w:val="en-US"/>
        </w:rPr>
        <w:t xml:space="preserve">Another source of data is vital statistics. These statistic provide information about births, deaths, adoptions, di- vorces, and marriages. These data are available throug state public health departments. </w:t>
      </w:r>
    </w:p>
    <w:p>
      <w:pPr>
        <w:pStyle w:val="Default"/>
        <w:bidi w:val="0"/>
        <w:spacing w:after="240" w:line="480" w:lineRule="auto"/>
        <w:ind w:left="0" w:right="0" w:firstLine="0"/>
        <w:jc w:val="left"/>
        <w:rPr>
          <w:rFonts w:ascii="Times" w:cs="Times" w:hAnsi="Times" w:eastAsia="Times"/>
          <w:sz w:val="24"/>
          <w:szCs w:val="24"/>
          <w:rtl w:val="0"/>
        </w:rPr>
      </w:pPr>
      <w:r>
        <w:rPr>
          <w:rFonts w:ascii="Times"/>
          <w:sz w:val="30"/>
          <w:szCs w:val="30"/>
          <w:rtl w:val="0"/>
          <w:lang w:val="en-US"/>
        </w:rPr>
        <w:t xml:space="preserve">Information on the health of a community can also be obtained from surveys that are conducted routinely at the national level and often at the regional level. The N tional Center for Health Statistics (NCHS), a division of the CDC, provides data about the prevalence of health conditions in the United States. The NCHS manages sur veillance systems including the National Health Inter- view Survey(NHIS)andtheNationalHealthand Nutrition Examination Survey (NHANES). The NHIS i conducted every year and surveys approximately 35,000 households annually. The survey focuses on a core com ponent of health questions including health status and limitations, injuries, health-care access and use, health insurance, and income and assets. In addition, a supple- ment is used each year to respond to new public health </w:t>
      </w:r>
    </w:p>
    <w:p>
      <w:pPr>
        <w:pStyle w:val="Default"/>
        <w:bidi w:val="0"/>
        <w:spacing w:after="240" w:line="480" w:lineRule="auto"/>
        <w:ind w:left="0" w:right="0" w:firstLine="0"/>
        <w:jc w:val="left"/>
        <w:rPr>
          <w:rFonts w:ascii="Times" w:cs="Times" w:hAnsi="Times" w:eastAsia="Times"/>
          <w:sz w:val="24"/>
          <w:szCs w:val="24"/>
          <w:rtl w:val="0"/>
        </w:rPr>
      </w:pPr>
      <w:r>
        <w:rPr>
          <w:rFonts w:ascii="Times"/>
          <w:sz w:val="18"/>
          <w:szCs w:val="18"/>
          <w:rtl w:val="0"/>
        </w:rPr>
        <w:t xml:space="preserve">C H A P T E R 4 </w:t>
      </w:r>
      <w:r>
        <w:rPr>
          <w:rFonts w:hAnsi="Times" w:hint="default"/>
          <w:sz w:val="26"/>
          <w:szCs w:val="26"/>
          <w:rtl w:val="0"/>
        </w:rPr>
        <w:t xml:space="preserve">• </w:t>
      </w:r>
      <w:r>
        <w:rPr>
          <w:rFonts w:ascii="Times"/>
          <w:sz w:val="26"/>
          <w:szCs w:val="26"/>
          <w:rtl w:val="0"/>
          <w:lang w:val="en-US"/>
        </w:rPr>
        <w:t xml:space="preserve">Introduction to Community Assessment </w:t>
      </w:r>
      <w:r>
        <w:rPr>
          <w:rFonts w:ascii="Times"/>
          <w:i w:val="1"/>
          <w:iCs w:val="1"/>
          <w:sz w:val="26"/>
          <w:szCs w:val="26"/>
          <w:rtl w:val="0"/>
        </w:rPr>
        <w:t xml:space="preserve">89 </w:t>
      </w:r>
    </w:p>
    <w:p>
      <w:pPr>
        <w:pStyle w:val="Default"/>
        <w:bidi w:val="0"/>
        <w:spacing w:after="240" w:line="480" w:lineRule="auto"/>
        <w:ind w:left="0" w:right="0" w:firstLine="0"/>
        <w:jc w:val="left"/>
        <w:rPr>
          <w:rFonts w:ascii="Times" w:cs="Times" w:hAnsi="Times" w:eastAsia="Times"/>
          <w:sz w:val="24"/>
          <w:szCs w:val="24"/>
          <w:rtl w:val="0"/>
        </w:rPr>
      </w:pPr>
      <w:r>
        <w:rPr>
          <w:rFonts w:ascii="Times"/>
          <w:sz w:val="30"/>
          <w:szCs w:val="30"/>
          <w:rtl w:val="0"/>
          <w:lang w:val="en-US"/>
        </w:rPr>
        <w:t xml:space="preserve">data needs as they arise. </w:t>
      </w:r>
      <w:r>
        <w:rPr>
          <w:rFonts w:ascii="Times"/>
          <w:position w:val="8"/>
          <w:sz w:val="18"/>
          <w:szCs w:val="18"/>
          <w:rtl w:val="0"/>
        </w:rPr>
        <w:t xml:space="preserve">48 </w:t>
      </w:r>
      <w:r>
        <w:rPr>
          <w:rFonts w:ascii="Times"/>
          <w:sz w:val="30"/>
          <w:szCs w:val="30"/>
          <w:rtl w:val="0"/>
          <w:lang w:val="en-US"/>
        </w:rPr>
        <w:t>The NHANES is an annual survey that began in the 1960s and combines an inter- view with medical, dental, and lab tests and physiological measures.</w:t>
      </w:r>
      <w:r>
        <w:rPr>
          <w:rFonts w:ascii="Times"/>
          <w:position w:val="8"/>
          <w:sz w:val="18"/>
          <w:szCs w:val="18"/>
          <w:rtl w:val="0"/>
        </w:rPr>
        <w:t xml:space="preserve">49 </w:t>
      </w:r>
      <w:r>
        <w:rPr>
          <w:rFonts w:ascii="Times"/>
          <w:sz w:val="30"/>
          <w:szCs w:val="30"/>
          <w:rtl w:val="0"/>
          <w:lang w:val="en-US"/>
        </w:rPr>
        <w:t>The Behavioral Risk Factor Surveillance System (BRFSS), administered by the CDC, is a tele- phone survey of 350,000 adults in 50 states, the District of Columbia, Puerto Rico, the U.S. Virgin Islands, and Guam. It has been conducted on an annual basis since 1984 and it collects information on health risk behaviors, preventive health practices, and health-care access pri- marily related to chronic disease and injury.</w:t>
      </w:r>
      <w:r>
        <w:rPr>
          <w:rFonts w:ascii="Times"/>
          <w:position w:val="8"/>
          <w:sz w:val="18"/>
          <w:szCs w:val="18"/>
          <w:rtl w:val="0"/>
        </w:rPr>
        <w:t xml:space="preserve">50 </w:t>
      </w:r>
      <w:r>
        <w:rPr>
          <w:rFonts w:ascii="Times"/>
          <w:sz w:val="30"/>
          <w:szCs w:val="30"/>
          <w:rtl w:val="0"/>
          <w:lang w:val="en-US"/>
        </w:rPr>
        <w:t xml:space="preserve">The CDC also publishes the </w:t>
      </w:r>
      <w:r>
        <w:rPr>
          <w:rFonts w:ascii="Times"/>
          <w:i w:val="1"/>
          <w:iCs w:val="1"/>
          <w:sz w:val="30"/>
          <w:szCs w:val="30"/>
          <w:rtl w:val="0"/>
          <w:lang w:val="en-US"/>
        </w:rPr>
        <w:t xml:space="preserve">Morbidity and Mortality Weekly Report, </w:t>
      </w:r>
      <w:r>
        <w:rPr>
          <w:rFonts w:ascii="Times"/>
          <w:sz w:val="30"/>
          <w:szCs w:val="30"/>
          <w:rtl w:val="0"/>
          <w:lang w:val="en-US"/>
        </w:rPr>
        <w:t xml:space="preserve">which reports infectious diseases and health con- cerns by states with each publication providing current state-and city-level incidence data on reportable diseases. Other examples of aggregate health data include the an- nual report to Congress and other reports to Congress on health-related issues such as alcohol and drug use (see Chapter 11). Other sources of health data include cancer registries and the National Institute of Occupational Safety and Health (NIOSH). The National Cancer Cente of the National Institutes of Health maintains 11 popu- lation-based cancer registries. They provide data on th number of individuals diagnosed with cancer during the year. NIOSH monitors exposures to environmental factors in work settings. </w:t>
      </w:r>
    </w:p>
    <w:p>
      <w:pPr>
        <w:pStyle w:val="Default"/>
        <w:bidi w:val="0"/>
        <w:spacing w:after="240" w:line="480" w:lineRule="auto"/>
        <w:ind w:left="0" w:right="0" w:firstLine="0"/>
        <w:jc w:val="left"/>
        <w:rPr>
          <w:rFonts w:ascii="Times" w:cs="Times" w:hAnsi="Times" w:eastAsia="Times"/>
          <w:sz w:val="24"/>
          <w:szCs w:val="24"/>
          <w:rtl w:val="0"/>
        </w:rPr>
      </w:pPr>
      <w:r>
        <w:rPr>
          <w:rFonts w:ascii="Times"/>
          <w:sz w:val="30"/>
          <w:szCs w:val="30"/>
          <w:rtl w:val="0"/>
          <w:lang w:val="en-US"/>
        </w:rPr>
        <w:t xml:space="preserve">Secondary data are also available that are not specifi to individuals, that is, data related to the environment. The Environmental Protection Agency (EPA) collects data on environmental pollutants and the Department of Transportation collects data on the number of vehicles using the roads. Another example is information ob- tained and maintained by the U.S. Department of Agri- culture (USDA), which includes information on farmers markets, the Food Access Research Atlas, and the Food Desert Locator, an online map highlighting thousands of areas where, the USDA says, low-income families have little or no access to healthy fresh food. </w:t>
      </w:r>
      <w:r>
        <w:rPr>
          <w:rFonts w:ascii="Times"/>
          <w:position w:val="8"/>
          <w:sz w:val="18"/>
          <w:szCs w:val="18"/>
          <w:rtl w:val="0"/>
        </w:rPr>
        <w:t xml:space="preserve">51 </w:t>
      </w:r>
      <w:r>
        <w:rPr>
          <w:rFonts w:ascii="Times"/>
          <w:sz w:val="30"/>
          <w:szCs w:val="30"/>
          <w:rtl w:val="0"/>
          <w:lang w:val="en-US"/>
        </w:rPr>
        <w:t xml:space="preserve">Secondary sources of local data also exist but may not be readily available in aggregate form on the web. These include in formation on the organizations within the community such as hospitals, schools, and police department infor- mation. Gathering the data from various local organiza- tions (minutes, reports) may be helpful in relation to the different sectors included in the CHANGE model such as information about the schools. Although these records may be helpful to some extent, there are limitations. Records of any nature often have documentation limita tions since the records may not be complete, may not be in a usable format, or the keepers of the data may not be willing to provide the information to the community </w:t>
      </w:r>
    </w:p>
    <w:p>
      <w:pPr>
        <w:pStyle w:val="Default"/>
        <w:bidi w:val="0"/>
        <w:spacing w:after="240" w:line="480" w:lineRule="auto"/>
        <w:ind w:left="0" w:right="0" w:firstLine="0"/>
        <w:jc w:val="left"/>
        <w:rPr>
          <w:rFonts w:ascii="Times" w:cs="Times" w:hAnsi="Times" w:eastAsia="Times"/>
          <w:sz w:val="24"/>
          <w:szCs w:val="24"/>
          <w:rtl w:val="0"/>
        </w:rPr>
      </w:pPr>
      <w:r>
        <w:rPr>
          <w:rFonts w:ascii="Times"/>
          <w:i w:val="1"/>
          <w:iCs w:val="1"/>
          <w:sz w:val="26"/>
          <w:szCs w:val="26"/>
          <w:rtl w:val="0"/>
        </w:rPr>
        <w:t xml:space="preserve">90 </w:t>
      </w:r>
      <w:r>
        <w:rPr>
          <w:rFonts w:ascii="Times"/>
          <w:sz w:val="18"/>
          <w:szCs w:val="18"/>
          <w:rtl w:val="0"/>
        </w:rPr>
        <w:t xml:space="preserve">U N I T I </w:t>
      </w:r>
      <w:r>
        <w:rPr>
          <w:rFonts w:hAnsi="Times" w:hint="default"/>
          <w:sz w:val="26"/>
          <w:szCs w:val="26"/>
          <w:rtl w:val="0"/>
        </w:rPr>
        <w:t xml:space="preserve">• </w:t>
      </w:r>
      <w:r>
        <w:rPr>
          <w:rFonts w:ascii="Times"/>
          <w:sz w:val="26"/>
          <w:szCs w:val="26"/>
          <w:rtl w:val="0"/>
          <w:lang w:val="en-US"/>
        </w:rPr>
        <w:t xml:space="preserve">Basis for Public Health Nursing Knowledge and Skills </w:t>
      </w:r>
    </w:p>
    <w:p>
      <w:pPr>
        <w:pStyle w:val="Default"/>
        <w:bidi w:val="0"/>
        <w:spacing w:after="240" w:line="480" w:lineRule="auto"/>
        <w:ind w:left="0" w:right="0" w:firstLine="0"/>
        <w:jc w:val="left"/>
        <w:rPr>
          <w:rtl w:val="0"/>
        </w:rPr>
      </w:pPr>
      <w:r>
        <w:rPr>
          <w:rFonts w:ascii="Times"/>
          <w:sz w:val="30"/>
          <w:szCs w:val="30"/>
          <w:rtl w:val="0"/>
          <w:lang w:val="en-US"/>
        </w:rPr>
        <w:t xml:space="preserve">assessment team. The list of available secondary data i long and interesting and should be reviewed as the firs step to avoid the more costly process of having the team collect the data. </w:t>
      </w:r>
      <w:r>
        <w:rPr>
          <w:rFonts w:ascii="Times" w:cs="Times" w:hAnsi="Times" w:eastAsia="Times"/>
          <w:sz w:val="24"/>
          <w:szCs w:val="24"/>
          <w:rtl w:val="0"/>
        </w:rPr>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nl-NL"/>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