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bidi w:val="0"/>
        <w:ind w:left="0" w:right="0" w:firstLine="0"/>
        <w:jc w:val="left"/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Establishing a classroom management philosophy is a crucial aspect of managing a classroom. Your philosophy will guide you in establishing procedures, routines, and behavior expectations in order to create a learning environment that engages students, achieves instructional goals, and meets the diverse needs of students.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Consider your personal experience with classroom management. In 250-500 words, describe your classroom management philosophy including: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 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How engagement plays a role in classroom management.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 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How you will establish procedures, routines, and behavior expectations in your future classroom.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How you will use classroom management strategies to meet the diverse needs of students, achieve instructional goals, and effectively involve families.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This assignment uses a rubric. Review the rubric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ffffff"/>
          <w:sz w:val="32"/>
          <w:szCs w:val="32"/>
          <w:shd w:val="clear" w:color="auto" w:fill="ffffff"/>
          <w:rtl w:val="0"/>
        </w:rPr>
      </w:pPr>
      <w:r>
        <w:rPr>
          <w:rFonts w:ascii="Trebuchet MS" w:hAnsi="Trebuchet MS"/>
          <w:color w:val="ffffff"/>
          <w:sz w:val="32"/>
          <w:szCs w:val="32"/>
          <w:shd w:val="clear" w:color="auto" w:fill="ffffff"/>
          <w:rtl w:val="0"/>
          <w:lang w:val="en-US"/>
        </w:rPr>
        <w:t>Apply Rubrics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 xml:space="preserve">Classroom Management Philosophy </w:t>
      </w:r>
    </w:p>
    <w:tbl>
      <w:tblPr>
        <w:tblW w:w="935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82"/>
        <w:gridCol w:w="1344"/>
        <w:gridCol w:w="1388"/>
        <w:gridCol w:w="1382"/>
        <w:gridCol w:w="1388"/>
        <w:gridCol w:w="2075"/>
      </w:tblGrid>
      <w:tr>
        <w:tblPrEx>
          <w:shd w:val="clear" w:color="auto" w:fill="auto"/>
        </w:tblPrEx>
        <w:trPr>
          <w:trHeight w:val="1131" w:hRule="atLeast"/>
        </w:trPr>
        <w:tc>
          <w:tcPr>
            <w:tcW w:type="dxa" w:w="17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9ac5da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/>
        </w:tc>
        <w:tc>
          <w:tcPr>
            <w:tcW w:type="dxa" w:w="1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9ac5da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1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No Submission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0.00%</w:t>
            </w:r>
          </w:p>
        </w:tc>
        <w:tc>
          <w:tcPr>
            <w:tcW w:type="dxa" w:w="13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2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Insufficient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65.00%</w:t>
            </w:r>
          </w:p>
        </w:tc>
        <w:tc>
          <w:tcPr>
            <w:tcW w:type="dxa" w:w="13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3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Approaching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75.00%</w:t>
            </w:r>
          </w:p>
        </w:tc>
        <w:tc>
          <w:tcPr>
            <w:tcW w:type="dxa" w:w="13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4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Acceptable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85.00%</w:t>
            </w:r>
          </w:p>
        </w:tc>
        <w:tc>
          <w:tcPr>
            <w:tcW w:type="dxa" w:w="2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5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Target</w:t>
            </w:r>
          </w:p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100.00%</w:t>
            </w:r>
          </w:p>
        </w:tc>
      </w:tr>
      <w:tr>
        <w:tblPrEx>
          <w:shd w:val="clear" w:color="auto" w:fill="auto"/>
        </w:tblPrEx>
        <w:trPr>
          <w:trHeight w:val="577" w:hRule="atLeast"/>
        </w:trPr>
        <w:tc>
          <w:tcPr>
            <w:tcW w:type="dxa" w:w="1782"/>
            <w:tcBorders>
              <w:top w:val="single" w:color="9ac5da" w:sz="6" w:space="0" w:shadow="0" w:frame="0"/>
              <w:left w:val="single" w:color="9ac5da" w:sz="6" w:space="0" w:shadow="0" w:frame="0"/>
              <w:bottom w:val="single" w:color="9ac5da" w:sz="6" w:space="0" w:shadow="0" w:frame="0"/>
              <w:right w:val="single" w:color="9ac5da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100.0 %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it-IT"/>
              </w:rPr>
              <w:t>Criteria</w:t>
            </w:r>
          </w:p>
        </w:tc>
        <w:tc>
          <w:tcPr>
            <w:tcW w:type="dxa" w:w="7577"/>
            <w:gridSpan w:val="5"/>
            <w:tcBorders>
              <w:top w:val="single" w:color="9ac5da" w:sz="6" w:space="0" w:shadow="0" w:frame="0"/>
              <w:left w:val="single" w:color="9ac5da" w:sz="6" w:space="0" w:shadow="0" w:frame="0"/>
              <w:bottom w:val="single" w:color="9ac5da" w:sz="6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777" w:hRule="atLeast"/>
        </w:trPr>
        <w:tc>
          <w:tcPr>
            <w:tcW w:type="dxa" w:w="1782"/>
            <w:tcBorders>
              <w:top w:val="single" w:color="9ac5da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f6f6f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30.0 %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en-US"/>
              </w:rPr>
              <w:t>Classroom Management Philosophy: Engagement Strategies</w:t>
            </w:r>
          </w:p>
        </w:tc>
        <w:tc>
          <w:tcPr>
            <w:tcW w:type="dxa" w:w="1344"/>
            <w:tcBorders>
              <w:top w:val="single" w:color="9ac5da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Not addressed.</w:t>
            </w:r>
          </w:p>
        </w:tc>
        <w:tc>
          <w:tcPr>
            <w:tcW w:type="dxa" w:w="1388"/>
            <w:tcBorders>
              <w:top w:val="single" w:color="000000" w:sz="2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poor and flawed description of how engagement strategies play a role in classroom management.</w:t>
            </w:r>
          </w:p>
        </w:tc>
        <w:tc>
          <w:tcPr>
            <w:tcW w:type="dxa" w:w="1381"/>
            <w:tcBorders>
              <w:top w:val="single" w:color="000000" w:sz="2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simple description of how engagement strategies play a role in classroom management.</w:t>
            </w:r>
          </w:p>
        </w:tc>
        <w:tc>
          <w:tcPr>
            <w:tcW w:type="dxa" w:w="1388"/>
            <w:tcBorders>
              <w:top w:val="single" w:color="000000" w:sz="2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detailed and relevant description of how engagement strategies play a role in classroom management.</w:t>
            </w:r>
          </w:p>
        </w:tc>
        <w:tc>
          <w:tcPr>
            <w:tcW w:type="dxa" w:w="2075"/>
            <w:tcBorders>
              <w:top w:val="single" w:color="000000" w:sz="2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proficient and compelling description of how engagement strategies play a role in classroom management.</w:t>
            </w:r>
          </w:p>
        </w:tc>
      </w:tr>
      <w:tr>
        <w:tblPrEx>
          <w:shd w:val="clear" w:color="auto" w:fill="auto"/>
        </w:tblPrEx>
        <w:trPr>
          <w:trHeight w:val="5337" w:hRule="atLeast"/>
        </w:trPr>
        <w:tc>
          <w:tcPr>
            <w:tcW w:type="dxa" w:w="1782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f6f6f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25.0 %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en-US"/>
              </w:rPr>
              <w:t>Classroom Management Philosophy: Procedures, Routines, Expectations</w:t>
            </w:r>
          </w:p>
        </w:tc>
        <w:tc>
          <w:tcPr>
            <w:tcW w:type="dxa" w:w="1344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Not addressed.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an explanation that is unfocused and missing key details of how to establish procedures, routines, and behavior expectations in future classroom.</w:t>
            </w:r>
          </w:p>
        </w:tc>
        <w:tc>
          <w:tcPr>
            <w:tcW w:type="dxa" w:w="1381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simple explanation of how to establish procedures, routines, and behavior expectations in future classroom.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detailed and relevant explanation of how to establish procedures, routines, and behavior expectations in future classroom.</w:t>
            </w:r>
          </w:p>
        </w:tc>
        <w:tc>
          <w:tcPr>
            <w:tcW w:type="dxa" w:w="2075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a thorough and professional explanation of how to establish procedures, routines, and behavior expectations in future classroom.</w:t>
            </w:r>
          </w:p>
        </w:tc>
      </w:tr>
      <w:tr>
        <w:tblPrEx>
          <w:shd w:val="clear" w:color="auto" w:fill="auto"/>
        </w:tblPrEx>
        <w:trPr>
          <w:trHeight w:val="7017" w:hRule="atLeast"/>
        </w:trPr>
        <w:tc>
          <w:tcPr>
            <w:tcW w:type="dxa" w:w="1782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f6f6f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25.0 %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en-US"/>
              </w:rPr>
              <w:t>Classroom Management Philosophy: Diverse Student Needs</w:t>
            </w:r>
          </w:p>
        </w:tc>
        <w:tc>
          <w:tcPr>
            <w:tcW w:type="dxa" w:w="1344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Not addressed.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examples that are poor and flawed in meeting the diverse needs of students. Does not describe how families are included, or description is unrealistic or inappropriate.</w:t>
            </w:r>
          </w:p>
        </w:tc>
        <w:tc>
          <w:tcPr>
            <w:tcW w:type="dxa" w:w="1381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basic examples of how to meet the diverse needs of student, and generally describes the inclusion of families.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realistic and credible examples of how to meet the diverse needs of students, including solid inclusion of families.</w:t>
            </w:r>
          </w:p>
        </w:tc>
        <w:tc>
          <w:tcPr>
            <w:tcW w:type="dxa" w:w="2075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Classroom management philosophy includes thought-provoking and in-depth examples of how to meet the diverse needs of students, including a thoughtful inclusion of families.</w:t>
            </w:r>
          </w:p>
        </w:tc>
      </w:tr>
      <w:tr>
        <w:tblPrEx>
          <w:shd w:val="clear" w:color="auto" w:fill="auto"/>
        </w:tblPrEx>
        <w:trPr>
          <w:trHeight w:val="6177" w:hRule="atLeast"/>
        </w:trPr>
        <w:tc>
          <w:tcPr>
            <w:tcW w:type="dxa" w:w="1782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f6f6f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20.0 %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en-US"/>
              </w:rPr>
              <w:t>Mechanics of Writing (includes spelling, punctuation, grammar, and language use)</w:t>
            </w:r>
          </w:p>
        </w:tc>
        <w:tc>
          <w:tcPr>
            <w:tcW w:type="dxa" w:w="1344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Not addressed.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Surface errors are pervasive enough that they impede communication of meaning. Inappropriate word choice or sentence construction are used.</w:t>
            </w:r>
          </w:p>
        </w:tc>
        <w:tc>
          <w:tcPr>
            <w:tcW w:type="dxa" w:w="1381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Some mechanical errors or typos are present, but they are not overly distracting to the reader. Correct and varied sentence structure and audience-appropriate language are employed.</w:t>
            </w:r>
          </w:p>
        </w:tc>
        <w:tc>
          <w:tcPr>
            <w:tcW w:type="dxa" w:w="1388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d0d0d0" w:sz="6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Submission is largely free of mechanical errors, although a few are present. Varieties of effective sentence structures and figures of speech are used, as well as appropriate practice and content-related language.</w:t>
            </w:r>
          </w:p>
        </w:tc>
        <w:tc>
          <w:tcPr>
            <w:tcW w:type="dxa" w:w="2075"/>
            <w:tcBorders>
              <w:top w:val="single" w:color="d0d0d0" w:sz="6" w:space="0" w:shadow="0" w:frame="0"/>
              <w:left w:val="single" w:color="d0d0d0" w:sz="6" w:space="0" w:shadow="0" w:frame="0"/>
              <w:bottom w:val="single" w:color="d0d0d0" w:sz="6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color w:val="545454"/>
                <w:sz w:val="24"/>
                <w:szCs w:val="24"/>
                <w:shd w:val="clear" w:color="auto" w:fill="ffffff"/>
                <w:rtl w:val="0"/>
              </w:rPr>
              <w:t>Submission is virtually free of mechanical errors. Word choice reflects well-developed use of practice and content-related language. Sentence structures are varied and engaging.</w:t>
            </w:r>
          </w:p>
        </w:tc>
      </w:tr>
      <w:tr>
        <w:tblPrEx>
          <w:shd w:val="clear" w:color="auto" w:fill="auto"/>
        </w:tblPrEx>
        <w:trPr>
          <w:trHeight w:val="851" w:hRule="atLeast"/>
        </w:trPr>
        <w:tc>
          <w:tcPr>
            <w:tcW w:type="dxa" w:w="1782"/>
            <w:tcBorders>
              <w:top w:val="single" w:color="d0d0d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Fonts w:ascii="Trebuchet MS" w:cs="Trebuchet MS" w:hAnsi="Trebuchet MS" w:eastAsia="Trebuchet MS"/>
                <w:b w:val="1"/>
                <w:bCs w:val="1"/>
                <w:color w:val="00000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</w:rPr>
              <w:t>100 %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rebuchet MS" w:hAnsi="Trebuchet MS"/>
                <w:b w:val="1"/>
                <w:bCs w:val="1"/>
                <w:color w:val="545454"/>
                <w:sz w:val="24"/>
                <w:szCs w:val="24"/>
                <w:shd w:val="clear" w:color="auto" w:fill="ffffff"/>
                <w:rtl w:val="0"/>
                <w:lang w:val="en-US"/>
              </w:rPr>
              <w:t>Total Weightage</w:t>
            </w:r>
          </w:p>
        </w:tc>
        <w:tc>
          <w:tcPr>
            <w:tcW w:type="dxa" w:w="7577"/>
            <w:gridSpan w:val="5"/>
            <w:tcBorders>
              <w:top w:val="single" w:color="d0d0d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45454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Bullet">
    <w:name w:val="Bullet"/>
    <w:pPr>
      <w:numPr>
        <w:numId w:val="1"/>
      </w:numPr>
    </w:p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