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6813C7" w14:textId="62D823E7" w:rsidR="00096EE3" w:rsidRPr="00096EE3" w:rsidRDefault="00096EE3" w:rsidP="00096EE3">
      <w:pPr>
        <w:pStyle w:val="NormalWeb"/>
        <w:spacing w:before="0" w:beforeAutospacing="0" w:after="0" w:afterAutospacing="0" w:line="480" w:lineRule="auto"/>
        <w:jc w:val="center"/>
        <w:rPr>
          <w:rStyle w:val="Strong"/>
        </w:rPr>
      </w:pPr>
      <w:r w:rsidRPr="00096EE3">
        <w:rPr>
          <w:rStyle w:val="Strong"/>
        </w:rPr>
        <w:t>Picot questions</w:t>
      </w:r>
    </w:p>
    <w:p w14:paraId="590F9BAC" w14:textId="0387878E" w:rsidR="00096EE3" w:rsidRPr="00096EE3" w:rsidRDefault="00096EE3" w:rsidP="00096EE3">
      <w:pPr>
        <w:pStyle w:val="NormalWeb"/>
        <w:spacing w:before="0" w:beforeAutospacing="0" w:after="0" w:afterAutospacing="0" w:line="480" w:lineRule="auto"/>
      </w:pPr>
      <w:r w:rsidRPr="00096EE3">
        <w:rPr>
          <w:rStyle w:val="Strong"/>
          <w:b w:val="0"/>
          <w:bCs w:val="0"/>
        </w:rPr>
        <w:t>In medically ill patients aged 65 and above</w:t>
      </w:r>
      <w:r w:rsidRPr="00096EE3">
        <w:t>, how does the use of sequential compression devices to prevent </w:t>
      </w:r>
      <w:r w:rsidRPr="00096EE3">
        <w:rPr>
          <w:rStyle w:val="Strong"/>
          <w:b w:val="0"/>
          <w:bCs w:val="0"/>
        </w:rPr>
        <w:t>venous </w:t>
      </w:r>
      <w:r w:rsidRPr="00096EE3">
        <w:t>thromboembolism compare to medically ill patients that are not using sequential compression devices?</w:t>
      </w:r>
    </w:p>
    <w:p w14:paraId="46D4092D" w14:textId="302B2DC4" w:rsidR="00096EE3" w:rsidRPr="00096EE3" w:rsidRDefault="00096EE3" w:rsidP="00096EE3">
      <w:pPr>
        <w:pStyle w:val="NormalWeb"/>
        <w:spacing w:before="0" w:beforeAutospacing="0" w:after="0" w:afterAutospacing="0" w:line="480" w:lineRule="auto"/>
      </w:pPr>
      <w:r w:rsidRPr="00096EE3">
        <w:t>In medically ill patients older than 65 years, how does knowledge and attitudes about venous</w:t>
      </w:r>
      <w:r w:rsidRPr="00096EE3">
        <w:rPr>
          <w:rStyle w:val="Strong"/>
          <w:b w:val="0"/>
          <w:bCs w:val="0"/>
        </w:rPr>
        <w:t> </w:t>
      </w:r>
      <w:r w:rsidRPr="00096EE3">
        <w:t xml:space="preserve">thromboembolism risks enhance prevention of venous thromboembolism when compared to patients that only use healthcare </w:t>
      </w:r>
      <w:r w:rsidRPr="00096EE3">
        <w:t>practitioner’s</w:t>
      </w:r>
      <w:r w:rsidRPr="00096EE3">
        <w:t xml:space="preserve"> information to prevent venous thromboembolism. </w:t>
      </w:r>
    </w:p>
    <w:p w14:paraId="0A9DEE9C" w14:textId="77777777" w:rsidR="001C0B88" w:rsidRPr="00096EE3" w:rsidRDefault="001C0B88" w:rsidP="00096EE3">
      <w:pPr>
        <w:spacing w:line="480" w:lineRule="auto"/>
        <w:ind w:firstLine="720"/>
        <w:rPr>
          <w:rFonts w:ascii="Times New Roman" w:hAnsi="Times New Roman" w:cs="Times New Roman"/>
          <w:sz w:val="24"/>
          <w:szCs w:val="24"/>
        </w:rPr>
      </w:pPr>
    </w:p>
    <w:p w14:paraId="517FD520" w14:textId="77777777" w:rsidR="001C0B88" w:rsidRPr="00096EE3" w:rsidRDefault="001C0B88" w:rsidP="00096EE3">
      <w:pPr>
        <w:spacing w:line="480" w:lineRule="auto"/>
        <w:ind w:firstLine="720"/>
        <w:jc w:val="center"/>
        <w:rPr>
          <w:rFonts w:ascii="Times New Roman" w:hAnsi="Times New Roman" w:cs="Times New Roman"/>
          <w:sz w:val="24"/>
          <w:szCs w:val="24"/>
        </w:rPr>
      </w:pPr>
    </w:p>
    <w:p w14:paraId="22B90255" w14:textId="67D78114" w:rsidR="000778A1" w:rsidRPr="00096EE3" w:rsidRDefault="000778A1" w:rsidP="00096EE3">
      <w:pPr>
        <w:spacing w:line="480" w:lineRule="auto"/>
        <w:ind w:firstLine="720"/>
        <w:jc w:val="center"/>
        <w:rPr>
          <w:rFonts w:ascii="Times New Roman" w:hAnsi="Times New Roman" w:cs="Times New Roman"/>
          <w:sz w:val="24"/>
          <w:szCs w:val="24"/>
        </w:rPr>
      </w:pPr>
      <w:r w:rsidRPr="00096EE3">
        <w:rPr>
          <w:rFonts w:ascii="Times New Roman" w:hAnsi="Times New Roman" w:cs="Times New Roman"/>
          <w:sz w:val="24"/>
          <w:szCs w:val="24"/>
        </w:rPr>
        <w:t>Similarities</w:t>
      </w:r>
    </w:p>
    <w:p w14:paraId="1A289FEE" w14:textId="1A978DB8" w:rsidR="0031639A" w:rsidRPr="00096EE3" w:rsidRDefault="0031639A" w:rsidP="00096EE3">
      <w:pPr>
        <w:spacing w:line="480" w:lineRule="auto"/>
        <w:ind w:firstLine="720"/>
        <w:rPr>
          <w:rFonts w:ascii="Times New Roman" w:hAnsi="Times New Roman" w:cs="Times New Roman"/>
          <w:sz w:val="24"/>
          <w:szCs w:val="24"/>
        </w:rPr>
      </w:pPr>
      <w:r w:rsidRPr="00096EE3">
        <w:rPr>
          <w:rFonts w:ascii="Times New Roman" w:hAnsi="Times New Roman" w:cs="Times New Roman"/>
          <w:sz w:val="24"/>
          <w:szCs w:val="24"/>
        </w:rPr>
        <w:t xml:space="preserve">Both articles agree that the current measures being used to prevent VTE are ineffective. According to </w:t>
      </w:r>
      <w:proofErr w:type="spellStart"/>
      <w:r w:rsidRPr="00096EE3">
        <w:rPr>
          <w:rFonts w:ascii="Times New Roman" w:hAnsi="Times New Roman" w:cs="Times New Roman"/>
          <w:sz w:val="24"/>
          <w:szCs w:val="24"/>
        </w:rPr>
        <w:t>Haxaire</w:t>
      </w:r>
      <w:proofErr w:type="spellEnd"/>
      <w:r w:rsidRPr="00096EE3">
        <w:rPr>
          <w:rFonts w:ascii="Times New Roman" w:hAnsi="Times New Roman" w:cs="Times New Roman"/>
          <w:sz w:val="24"/>
          <w:szCs w:val="24"/>
        </w:rPr>
        <w:t xml:space="preserve">, et al. (2015) the current measures that are being used to prevent VTE involve healthcare providers educating patients on various preventive measures. However, the information that healthcare providers give to the VTE patients partially influences their prevention attitudes because it leads to biographical disruption on most of the patients. As a result, the medical teams are faced with the challenge of helping patients and their families prevent VTE. Also, Koo, et al. (2014) showed that currently, the sequential compression devices such as alternate sequential compression devices and simultaneous sequential compression devices are being used to prevent VTE. However, the effectiveness of these sequential devices could not be proved unless further research on the same is carried out. Therefore, unless the Koo, et al. (2014) conclude that unless the effectiveness of these devices is ascertained, they remain to be subject to doubt in the prevention of VTE. This means that the continued use of sequential </w:t>
      </w:r>
      <w:r w:rsidRPr="00096EE3">
        <w:rPr>
          <w:rFonts w:ascii="Times New Roman" w:hAnsi="Times New Roman" w:cs="Times New Roman"/>
          <w:sz w:val="24"/>
          <w:szCs w:val="24"/>
        </w:rPr>
        <w:lastRenderedPageBreak/>
        <w:t xml:space="preserve">compression devices does not guarantee effective prevention of VTE. Moreover, </w:t>
      </w:r>
      <w:proofErr w:type="spellStart"/>
      <w:r w:rsidRPr="00096EE3">
        <w:rPr>
          <w:rFonts w:ascii="Times New Roman" w:hAnsi="Times New Roman" w:cs="Times New Roman"/>
          <w:sz w:val="24"/>
          <w:szCs w:val="24"/>
        </w:rPr>
        <w:t>Apenteng</w:t>
      </w:r>
      <w:proofErr w:type="spellEnd"/>
      <w:r w:rsidRPr="00096EE3">
        <w:rPr>
          <w:rFonts w:ascii="Times New Roman" w:hAnsi="Times New Roman" w:cs="Times New Roman"/>
          <w:sz w:val="24"/>
          <w:szCs w:val="24"/>
        </w:rPr>
        <w:t>, et al. (2016) reveals that currently thromboprophylaxis is being used to prevent VTE. however, the use of thromboprophylaxis has proved ineffective in preventing VTE because patients still do not understand the VTE and its components. Also, the use of thromboprophylaxis has been associated with heparin injections and poor adherence to elastic compression stockings due to lack of proper guidance from the health professionals (</w:t>
      </w:r>
      <w:proofErr w:type="spellStart"/>
      <w:r w:rsidRPr="00096EE3">
        <w:rPr>
          <w:rFonts w:ascii="Times New Roman" w:hAnsi="Times New Roman" w:cs="Times New Roman"/>
          <w:sz w:val="24"/>
          <w:szCs w:val="24"/>
        </w:rPr>
        <w:t>Apenteng</w:t>
      </w:r>
      <w:proofErr w:type="spellEnd"/>
      <w:r w:rsidRPr="00096EE3">
        <w:rPr>
          <w:rFonts w:ascii="Times New Roman" w:hAnsi="Times New Roman" w:cs="Times New Roman"/>
          <w:sz w:val="24"/>
          <w:szCs w:val="24"/>
        </w:rPr>
        <w:t xml:space="preserve">, et al. 2016). As a result, the use of thromboprophylaxis is therefore not fit in the prevention of VTE because of the side effects it causes on the patients. Lastly, </w:t>
      </w:r>
      <w:proofErr w:type="spellStart"/>
      <w:r w:rsidRPr="00096EE3">
        <w:rPr>
          <w:rFonts w:ascii="Times New Roman" w:hAnsi="Times New Roman" w:cs="Times New Roman"/>
          <w:sz w:val="24"/>
          <w:szCs w:val="24"/>
        </w:rPr>
        <w:t>Dhakal</w:t>
      </w:r>
      <w:proofErr w:type="spellEnd"/>
      <w:r w:rsidRPr="00096EE3">
        <w:rPr>
          <w:rFonts w:ascii="Times New Roman" w:hAnsi="Times New Roman" w:cs="Times New Roman"/>
          <w:sz w:val="24"/>
          <w:szCs w:val="24"/>
        </w:rPr>
        <w:t xml:space="preserve">, et al 2019 state that currently, sequential compression devices (SDC) are being used to prevent VTE in hospitals. However, in their findings, there was no relationship between the use of SDC and the reduction of VTE in the hospital admitted patients. Hence, it's evident that SDCs that are being used to prevent VTE are not effective. </w:t>
      </w:r>
    </w:p>
    <w:p w14:paraId="43247F8B" w14:textId="503FC558" w:rsidR="000778A1" w:rsidRPr="00096EE3" w:rsidRDefault="000778A1" w:rsidP="00096EE3">
      <w:pPr>
        <w:spacing w:line="480" w:lineRule="auto"/>
        <w:ind w:firstLine="720"/>
        <w:jc w:val="center"/>
        <w:rPr>
          <w:rFonts w:ascii="Times New Roman" w:hAnsi="Times New Roman" w:cs="Times New Roman"/>
          <w:sz w:val="24"/>
          <w:szCs w:val="24"/>
        </w:rPr>
      </w:pPr>
      <w:r w:rsidRPr="00096EE3">
        <w:rPr>
          <w:rFonts w:ascii="Times New Roman" w:hAnsi="Times New Roman" w:cs="Times New Roman"/>
          <w:sz w:val="24"/>
          <w:szCs w:val="24"/>
        </w:rPr>
        <w:t>Differences</w:t>
      </w:r>
    </w:p>
    <w:p w14:paraId="238C1C4B" w14:textId="39829B68" w:rsidR="0031639A" w:rsidRPr="00096EE3" w:rsidRDefault="0031639A" w:rsidP="00096EE3">
      <w:pPr>
        <w:spacing w:line="480" w:lineRule="auto"/>
        <w:ind w:firstLine="720"/>
        <w:rPr>
          <w:rFonts w:ascii="Times New Roman" w:hAnsi="Times New Roman" w:cs="Times New Roman"/>
          <w:sz w:val="24"/>
          <w:szCs w:val="24"/>
        </w:rPr>
      </w:pPr>
      <w:r w:rsidRPr="00096EE3">
        <w:rPr>
          <w:rFonts w:ascii="Times New Roman" w:hAnsi="Times New Roman" w:cs="Times New Roman"/>
          <w:sz w:val="24"/>
          <w:szCs w:val="24"/>
        </w:rPr>
        <w:t xml:space="preserve">Even though both articles agree that the current measures of preventing VTE are not effective, the articles disagree on the proper measures that can be used to prevent VTE. for example, </w:t>
      </w:r>
      <w:proofErr w:type="spellStart"/>
      <w:r w:rsidRPr="00096EE3">
        <w:rPr>
          <w:rFonts w:ascii="Times New Roman" w:hAnsi="Times New Roman" w:cs="Times New Roman"/>
          <w:sz w:val="24"/>
          <w:szCs w:val="24"/>
        </w:rPr>
        <w:t>Haxaire</w:t>
      </w:r>
      <w:proofErr w:type="spellEnd"/>
      <w:r w:rsidRPr="00096EE3">
        <w:rPr>
          <w:rFonts w:ascii="Times New Roman" w:hAnsi="Times New Roman" w:cs="Times New Roman"/>
          <w:sz w:val="24"/>
          <w:szCs w:val="24"/>
        </w:rPr>
        <w:t xml:space="preserve">, et al. (2015) in their study state that for health education that VTE patients are being subjected to yield a positive result, there is a need for the perceptions of VTE and its consequences to be collected first. On the other hand, Koo, et al. (2014) recommends further research to be carried out to establish the exact effectiveness of current sequential compression devices that are being used to prevent VTE. After the confirmation of their effectiveness is when these devices which are alternate sequential compression devices and simultaneous sequential compression devices can be used. There are no alternative measures that Koo, et al. (2014) suggest to be used. According to </w:t>
      </w:r>
      <w:proofErr w:type="spellStart"/>
      <w:r w:rsidRPr="00096EE3">
        <w:rPr>
          <w:rFonts w:ascii="Times New Roman" w:hAnsi="Times New Roman" w:cs="Times New Roman"/>
          <w:sz w:val="24"/>
          <w:szCs w:val="24"/>
        </w:rPr>
        <w:t>Apenteng</w:t>
      </w:r>
      <w:proofErr w:type="spellEnd"/>
      <w:r w:rsidRPr="00096EE3">
        <w:rPr>
          <w:rFonts w:ascii="Times New Roman" w:hAnsi="Times New Roman" w:cs="Times New Roman"/>
          <w:sz w:val="24"/>
          <w:szCs w:val="24"/>
        </w:rPr>
        <w:t xml:space="preserve">, et al. (2016) hospital-associated thrombosis can be effectively optimized by enhancing patient education program that incorporates consistent </w:t>
      </w:r>
      <w:r w:rsidRPr="00096EE3">
        <w:rPr>
          <w:rFonts w:ascii="Times New Roman" w:hAnsi="Times New Roman" w:cs="Times New Roman"/>
          <w:sz w:val="24"/>
          <w:szCs w:val="24"/>
        </w:rPr>
        <w:lastRenderedPageBreak/>
        <w:t xml:space="preserve">message on an appropriate description of the VTE symptoms. Lastly, </w:t>
      </w:r>
      <w:proofErr w:type="spellStart"/>
      <w:r w:rsidRPr="00096EE3">
        <w:rPr>
          <w:rFonts w:ascii="Times New Roman" w:hAnsi="Times New Roman" w:cs="Times New Roman"/>
          <w:sz w:val="24"/>
          <w:szCs w:val="24"/>
        </w:rPr>
        <w:t>Dhakal</w:t>
      </w:r>
      <w:proofErr w:type="spellEnd"/>
      <w:r w:rsidRPr="00096EE3">
        <w:rPr>
          <w:rFonts w:ascii="Times New Roman" w:hAnsi="Times New Roman" w:cs="Times New Roman"/>
          <w:sz w:val="24"/>
          <w:szCs w:val="24"/>
        </w:rPr>
        <w:t xml:space="preserve">, et al 2019 state that for sequential compression devices to be used as the primary method of preventing VTE in medically ill patients, there is a need for more prospective studies to be carried out to establish its effectiveness. </w:t>
      </w:r>
      <w:r w:rsidR="000778A1" w:rsidRPr="00096EE3">
        <w:rPr>
          <w:rFonts w:ascii="Times New Roman" w:hAnsi="Times New Roman" w:cs="Times New Roman"/>
          <w:sz w:val="24"/>
          <w:szCs w:val="24"/>
        </w:rPr>
        <w:t xml:space="preserve">Its therefore evident that both articles suggest different measures to be used in prevention of VTE. </w:t>
      </w:r>
    </w:p>
    <w:p w14:paraId="6290C7D6" w14:textId="674F3B86" w:rsidR="000778A1" w:rsidRPr="00096EE3" w:rsidRDefault="000778A1" w:rsidP="00096EE3">
      <w:pPr>
        <w:spacing w:line="480" w:lineRule="auto"/>
        <w:ind w:firstLine="720"/>
        <w:rPr>
          <w:rFonts w:ascii="Times New Roman" w:hAnsi="Times New Roman" w:cs="Times New Roman"/>
          <w:sz w:val="24"/>
          <w:szCs w:val="24"/>
        </w:rPr>
      </w:pPr>
    </w:p>
    <w:p w14:paraId="65AB7B43" w14:textId="7EA4B5A4" w:rsidR="000778A1" w:rsidRPr="00096EE3" w:rsidRDefault="000778A1" w:rsidP="00096EE3">
      <w:pPr>
        <w:spacing w:line="480" w:lineRule="auto"/>
        <w:ind w:firstLine="720"/>
        <w:rPr>
          <w:rFonts w:ascii="Times New Roman" w:hAnsi="Times New Roman" w:cs="Times New Roman"/>
          <w:sz w:val="24"/>
          <w:szCs w:val="24"/>
        </w:rPr>
      </w:pPr>
    </w:p>
    <w:p w14:paraId="0FD961E5" w14:textId="77777777" w:rsidR="000778A1" w:rsidRPr="00096EE3" w:rsidRDefault="000778A1" w:rsidP="00096EE3">
      <w:pPr>
        <w:spacing w:line="480" w:lineRule="auto"/>
        <w:ind w:firstLine="720"/>
        <w:rPr>
          <w:rFonts w:ascii="Times New Roman" w:hAnsi="Times New Roman" w:cs="Times New Roman"/>
          <w:sz w:val="24"/>
          <w:szCs w:val="24"/>
        </w:rPr>
      </w:pPr>
    </w:p>
    <w:p w14:paraId="05747C7C" w14:textId="67CD89FA" w:rsidR="000778A1" w:rsidRPr="00096EE3" w:rsidRDefault="000778A1" w:rsidP="00096EE3">
      <w:pPr>
        <w:spacing w:line="480" w:lineRule="auto"/>
        <w:jc w:val="center"/>
        <w:rPr>
          <w:rFonts w:ascii="Times New Roman" w:hAnsi="Times New Roman" w:cs="Times New Roman"/>
          <w:sz w:val="24"/>
          <w:szCs w:val="24"/>
        </w:rPr>
      </w:pPr>
      <w:r w:rsidRPr="00096EE3">
        <w:rPr>
          <w:rFonts w:ascii="Times New Roman" w:hAnsi="Times New Roman" w:cs="Times New Roman"/>
          <w:sz w:val="24"/>
          <w:szCs w:val="24"/>
        </w:rPr>
        <w:t>References</w:t>
      </w:r>
    </w:p>
    <w:p w14:paraId="5004A57F" w14:textId="11CEB32C" w:rsidR="000778A1" w:rsidRPr="00096EE3" w:rsidRDefault="000778A1" w:rsidP="00096EE3">
      <w:pPr>
        <w:spacing w:line="480" w:lineRule="auto"/>
        <w:ind w:left="720" w:hanging="720"/>
        <w:rPr>
          <w:rFonts w:ascii="Times New Roman" w:hAnsi="Times New Roman" w:cs="Times New Roman"/>
          <w:sz w:val="24"/>
          <w:szCs w:val="24"/>
          <w:shd w:val="clear" w:color="auto" w:fill="FFFFFF"/>
        </w:rPr>
      </w:pPr>
      <w:proofErr w:type="spellStart"/>
      <w:r w:rsidRPr="00096EE3">
        <w:rPr>
          <w:rFonts w:ascii="Times New Roman" w:hAnsi="Times New Roman" w:cs="Times New Roman"/>
          <w:sz w:val="24"/>
          <w:szCs w:val="24"/>
          <w:shd w:val="clear" w:color="auto" w:fill="FFFFFF"/>
        </w:rPr>
        <w:t>Apenteng</w:t>
      </w:r>
      <w:proofErr w:type="spellEnd"/>
      <w:r w:rsidRPr="00096EE3">
        <w:rPr>
          <w:rFonts w:ascii="Times New Roman" w:hAnsi="Times New Roman" w:cs="Times New Roman"/>
          <w:sz w:val="24"/>
          <w:szCs w:val="24"/>
          <w:shd w:val="clear" w:color="auto" w:fill="FFFFFF"/>
        </w:rPr>
        <w:t>, P. N., Fitzmaurice, D., Litchfield, I., Harrison, S., Heneghan, C., Ward, A., &amp; Greenfield, S. (2016). Patients' perceptions and experiences of the prevention of hospital-acquired thrombosis: a qualitative study. </w:t>
      </w:r>
      <w:r w:rsidRPr="00096EE3">
        <w:rPr>
          <w:rFonts w:ascii="Times New Roman" w:hAnsi="Times New Roman" w:cs="Times New Roman"/>
          <w:i/>
          <w:iCs/>
          <w:sz w:val="24"/>
          <w:szCs w:val="24"/>
          <w:shd w:val="clear" w:color="auto" w:fill="FFFFFF"/>
        </w:rPr>
        <w:t>BMJ open</w:t>
      </w:r>
      <w:r w:rsidRPr="00096EE3">
        <w:rPr>
          <w:rFonts w:ascii="Times New Roman" w:hAnsi="Times New Roman" w:cs="Times New Roman"/>
          <w:sz w:val="24"/>
          <w:szCs w:val="24"/>
          <w:shd w:val="clear" w:color="auto" w:fill="FFFFFF"/>
        </w:rPr>
        <w:t>, </w:t>
      </w:r>
      <w:r w:rsidRPr="00096EE3">
        <w:rPr>
          <w:rFonts w:ascii="Times New Roman" w:hAnsi="Times New Roman" w:cs="Times New Roman"/>
          <w:i/>
          <w:iCs/>
          <w:sz w:val="24"/>
          <w:szCs w:val="24"/>
          <w:shd w:val="clear" w:color="auto" w:fill="FFFFFF"/>
        </w:rPr>
        <w:t>6</w:t>
      </w:r>
      <w:r w:rsidRPr="00096EE3">
        <w:rPr>
          <w:rFonts w:ascii="Times New Roman" w:hAnsi="Times New Roman" w:cs="Times New Roman"/>
          <w:sz w:val="24"/>
          <w:szCs w:val="24"/>
          <w:shd w:val="clear" w:color="auto" w:fill="FFFFFF"/>
        </w:rPr>
        <w:t>(12).</w:t>
      </w:r>
    </w:p>
    <w:p w14:paraId="41BC6B09" w14:textId="2F6778A3" w:rsidR="000778A1" w:rsidRPr="00096EE3" w:rsidRDefault="000778A1" w:rsidP="00096EE3">
      <w:pPr>
        <w:spacing w:line="480" w:lineRule="auto"/>
        <w:ind w:left="720" w:hanging="720"/>
        <w:rPr>
          <w:rFonts w:ascii="Times New Roman" w:hAnsi="Times New Roman" w:cs="Times New Roman"/>
          <w:sz w:val="24"/>
          <w:szCs w:val="24"/>
          <w:shd w:val="clear" w:color="auto" w:fill="FFFFFF"/>
        </w:rPr>
      </w:pPr>
      <w:proofErr w:type="spellStart"/>
      <w:r w:rsidRPr="00096EE3">
        <w:rPr>
          <w:rFonts w:ascii="Times New Roman" w:hAnsi="Times New Roman" w:cs="Times New Roman"/>
          <w:sz w:val="24"/>
          <w:szCs w:val="24"/>
          <w:shd w:val="clear" w:color="auto" w:fill="FFFFFF"/>
        </w:rPr>
        <w:t>Dhakal</w:t>
      </w:r>
      <w:proofErr w:type="spellEnd"/>
      <w:r w:rsidRPr="00096EE3">
        <w:rPr>
          <w:rFonts w:ascii="Times New Roman" w:hAnsi="Times New Roman" w:cs="Times New Roman"/>
          <w:sz w:val="24"/>
          <w:szCs w:val="24"/>
          <w:shd w:val="clear" w:color="auto" w:fill="FFFFFF"/>
        </w:rPr>
        <w:t xml:space="preserve">, P., Wang, L., Gardiner, J., </w:t>
      </w:r>
      <w:proofErr w:type="spellStart"/>
      <w:r w:rsidRPr="00096EE3">
        <w:rPr>
          <w:rFonts w:ascii="Times New Roman" w:hAnsi="Times New Roman" w:cs="Times New Roman"/>
          <w:sz w:val="24"/>
          <w:szCs w:val="24"/>
          <w:shd w:val="clear" w:color="auto" w:fill="FFFFFF"/>
        </w:rPr>
        <w:t>Shrotriya</w:t>
      </w:r>
      <w:proofErr w:type="spellEnd"/>
      <w:r w:rsidRPr="00096EE3">
        <w:rPr>
          <w:rFonts w:ascii="Times New Roman" w:hAnsi="Times New Roman" w:cs="Times New Roman"/>
          <w:sz w:val="24"/>
          <w:szCs w:val="24"/>
          <w:shd w:val="clear" w:color="auto" w:fill="FFFFFF"/>
        </w:rPr>
        <w:t xml:space="preserve">, S., Sharma, M., &amp; </w:t>
      </w:r>
      <w:proofErr w:type="spellStart"/>
      <w:r w:rsidRPr="00096EE3">
        <w:rPr>
          <w:rFonts w:ascii="Times New Roman" w:hAnsi="Times New Roman" w:cs="Times New Roman"/>
          <w:sz w:val="24"/>
          <w:szCs w:val="24"/>
          <w:shd w:val="clear" w:color="auto" w:fill="FFFFFF"/>
        </w:rPr>
        <w:t>Rayamajhi</w:t>
      </w:r>
      <w:proofErr w:type="spellEnd"/>
      <w:r w:rsidRPr="00096EE3">
        <w:rPr>
          <w:rFonts w:ascii="Times New Roman" w:hAnsi="Times New Roman" w:cs="Times New Roman"/>
          <w:sz w:val="24"/>
          <w:szCs w:val="24"/>
          <w:shd w:val="clear" w:color="auto" w:fill="FFFFFF"/>
        </w:rPr>
        <w:t>, S. (2019). Effectiveness of Sequential Compression Devices in Prevention of Venous Thromboembolism in Medically Ill Hospitalized Patients: A Retrospective Cohort Study. </w:t>
      </w:r>
      <w:r w:rsidRPr="00096EE3">
        <w:rPr>
          <w:rFonts w:ascii="Times New Roman" w:hAnsi="Times New Roman" w:cs="Times New Roman"/>
          <w:i/>
          <w:iCs/>
          <w:sz w:val="24"/>
          <w:szCs w:val="24"/>
          <w:shd w:val="clear" w:color="auto" w:fill="FFFFFF"/>
        </w:rPr>
        <w:t>Turkish Journal of Hematology</w:t>
      </w:r>
      <w:r w:rsidRPr="00096EE3">
        <w:rPr>
          <w:rFonts w:ascii="Times New Roman" w:hAnsi="Times New Roman" w:cs="Times New Roman"/>
          <w:sz w:val="24"/>
          <w:szCs w:val="24"/>
          <w:shd w:val="clear" w:color="auto" w:fill="FFFFFF"/>
        </w:rPr>
        <w:t>, </w:t>
      </w:r>
      <w:r w:rsidRPr="00096EE3">
        <w:rPr>
          <w:rFonts w:ascii="Times New Roman" w:hAnsi="Times New Roman" w:cs="Times New Roman"/>
          <w:i/>
          <w:iCs/>
          <w:sz w:val="24"/>
          <w:szCs w:val="24"/>
          <w:shd w:val="clear" w:color="auto" w:fill="FFFFFF"/>
        </w:rPr>
        <w:t>36</w:t>
      </w:r>
      <w:r w:rsidRPr="00096EE3">
        <w:rPr>
          <w:rFonts w:ascii="Times New Roman" w:hAnsi="Times New Roman" w:cs="Times New Roman"/>
          <w:sz w:val="24"/>
          <w:szCs w:val="24"/>
          <w:shd w:val="clear" w:color="auto" w:fill="FFFFFF"/>
        </w:rPr>
        <w:t>(3), 193.</w:t>
      </w:r>
    </w:p>
    <w:p w14:paraId="2F8BC13C" w14:textId="6A10D62C" w:rsidR="000778A1" w:rsidRPr="00096EE3" w:rsidRDefault="000778A1" w:rsidP="00096EE3">
      <w:pPr>
        <w:spacing w:line="480" w:lineRule="auto"/>
        <w:ind w:left="720" w:hanging="720"/>
        <w:rPr>
          <w:rFonts w:ascii="Times New Roman" w:hAnsi="Times New Roman" w:cs="Times New Roman"/>
          <w:sz w:val="24"/>
          <w:szCs w:val="24"/>
          <w:shd w:val="clear" w:color="auto" w:fill="FFFFFF"/>
        </w:rPr>
      </w:pPr>
      <w:bookmarkStart w:id="0" w:name="_Hlk46063831"/>
      <w:proofErr w:type="spellStart"/>
      <w:r w:rsidRPr="00096EE3">
        <w:rPr>
          <w:rFonts w:ascii="Times New Roman" w:hAnsi="Times New Roman" w:cs="Times New Roman"/>
          <w:sz w:val="24"/>
          <w:szCs w:val="24"/>
          <w:shd w:val="clear" w:color="auto" w:fill="FFFFFF"/>
        </w:rPr>
        <w:t>Haxaire</w:t>
      </w:r>
      <w:proofErr w:type="spellEnd"/>
      <w:r w:rsidRPr="00096EE3">
        <w:rPr>
          <w:rFonts w:ascii="Times New Roman" w:hAnsi="Times New Roman" w:cs="Times New Roman"/>
          <w:sz w:val="24"/>
          <w:szCs w:val="24"/>
          <w:shd w:val="clear" w:color="auto" w:fill="FFFFFF"/>
        </w:rPr>
        <w:t xml:space="preserve">, </w:t>
      </w:r>
      <w:bookmarkEnd w:id="0"/>
      <w:r w:rsidRPr="00096EE3">
        <w:rPr>
          <w:rFonts w:ascii="Times New Roman" w:hAnsi="Times New Roman" w:cs="Times New Roman"/>
          <w:sz w:val="24"/>
          <w:szCs w:val="24"/>
          <w:shd w:val="clear" w:color="auto" w:fill="FFFFFF"/>
        </w:rPr>
        <w:t xml:space="preserve">C., </w:t>
      </w:r>
      <w:proofErr w:type="spellStart"/>
      <w:r w:rsidRPr="00096EE3">
        <w:rPr>
          <w:rFonts w:ascii="Times New Roman" w:hAnsi="Times New Roman" w:cs="Times New Roman"/>
          <w:sz w:val="24"/>
          <w:szCs w:val="24"/>
          <w:shd w:val="clear" w:color="auto" w:fill="FFFFFF"/>
        </w:rPr>
        <w:t>Tromeur</w:t>
      </w:r>
      <w:proofErr w:type="spellEnd"/>
      <w:r w:rsidRPr="00096EE3">
        <w:rPr>
          <w:rFonts w:ascii="Times New Roman" w:hAnsi="Times New Roman" w:cs="Times New Roman"/>
          <w:sz w:val="24"/>
          <w:szCs w:val="24"/>
          <w:shd w:val="clear" w:color="auto" w:fill="FFFFFF"/>
        </w:rPr>
        <w:t xml:space="preserve">, C., </w:t>
      </w:r>
      <w:proofErr w:type="spellStart"/>
      <w:r w:rsidRPr="00096EE3">
        <w:rPr>
          <w:rFonts w:ascii="Times New Roman" w:hAnsi="Times New Roman" w:cs="Times New Roman"/>
          <w:sz w:val="24"/>
          <w:szCs w:val="24"/>
          <w:shd w:val="clear" w:color="auto" w:fill="FFFFFF"/>
        </w:rPr>
        <w:t>Couturaud</w:t>
      </w:r>
      <w:proofErr w:type="spellEnd"/>
      <w:r w:rsidRPr="00096EE3">
        <w:rPr>
          <w:rFonts w:ascii="Times New Roman" w:hAnsi="Times New Roman" w:cs="Times New Roman"/>
          <w:sz w:val="24"/>
          <w:szCs w:val="24"/>
          <w:shd w:val="clear" w:color="auto" w:fill="FFFFFF"/>
        </w:rPr>
        <w:t xml:space="preserve">, F., &amp; </w:t>
      </w:r>
      <w:proofErr w:type="spellStart"/>
      <w:r w:rsidRPr="00096EE3">
        <w:rPr>
          <w:rFonts w:ascii="Times New Roman" w:hAnsi="Times New Roman" w:cs="Times New Roman"/>
          <w:sz w:val="24"/>
          <w:szCs w:val="24"/>
          <w:shd w:val="clear" w:color="auto" w:fill="FFFFFF"/>
        </w:rPr>
        <w:t>Leroyer</w:t>
      </w:r>
      <w:proofErr w:type="spellEnd"/>
      <w:r w:rsidRPr="00096EE3">
        <w:rPr>
          <w:rFonts w:ascii="Times New Roman" w:hAnsi="Times New Roman" w:cs="Times New Roman"/>
          <w:sz w:val="24"/>
          <w:szCs w:val="24"/>
          <w:shd w:val="clear" w:color="auto" w:fill="FFFFFF"/>
        </w:rPr>
        <w:t>, C. (2015). A qualitative study to appraise patients and family members perceptions, knowledge, and attitudes towards venous thromboembolism risk. </w:t>
      </w:r>
      <w:proofErr w:type="spellStart"/>
      <w:r w:rsidRPr="00096EE3">
        <w:rPr>
          <w:rFonts w:ascii="Times New Roman" w:hAnsi="Times New Roman" w:cs="Times New Roman"/>
          <w:i/>
          <w:iCs/>
          <w:sz w:val="24"/>
          <w:szCs w:val="24"/>
          <w:shd w:val="clear" w:color="auto" w:fill="FFFFFF"/>
        </w:rPr>
        <w:t>PloS</w:t>
      </w:r>
      <w:proofErr w:type="spellEnd"/>
      <w:r w:rsidRPr="00096EE3">
        <w:rPr>
          <w:rFonts w:ascii="Times New Roman" w:hAnsi="Times New Roman" w:cs="Times New Roman"/>
          <w:i/>
          <w:iCs/>
          <w:sz w:val="24"/>
          <w:szCs w:val="24"/>
          <w:shd w:val="clear" w:color="auto" w:fill="FFFFFF"/>
        </w:rPr>
        <w:t xml:space="preserve"> one</w:t>
      </w:r>
      <w:r w:rsidRPr="00096EE3">
        <w:rPr>
          <w:rFonts w:ascii="Times New Roman" w:hAnsi="Times New Roman" w:cs="Times New Roman"/>
          <w:sz w:val="24"/>
          <w:szCs w:val="24"/>
          <w:shd w:val="clear" w:color="auto" w:fill="FFFFFF"/>
        </w:rPr>
        <w:t>, </w:t>
      </w:r>
      <w:r w:rsidRPr="00096EE3">
        <w:rPr>
          <w:rFonts w:ascii="Times New Roman" w:hAnsi="Times New Roman" w:cs="Times New Roman"/>
          <w:i/>
          <w:iCs/>
          <w:sz w:val="24"/>
          <w:szCs w:val="24"/>
          <w:shd w:val="clear" w:color="auto" w:fill="FFFFFF"/>
        </w:rPr>
        <w:t>10</w:t>
      </w:r>
      <w:r w:rsidRPr="00096EE3">
        <w:rPr>
          <w:rFonts w:ascii="Times New Roman" w:hAnsi="Times New Roman" w:cs="Times New Roman"/>
          <w:sz w:val="24"/>
          <w:szCs w:val="24"/>
          <w:shd w:val="clear" w:color="auto" w:fill="FFFFFF"/>
        </w:rPr>
        <w:t>(11), e0142070.</w:t>
      </w:r>
    </w:p>
    <w:p w14:paraId="727F5487" w14:textId="765257F1" w:rsidR="000778A1" w:rsidRPr="00096EE3" w:rsidRDefault="000778A1" w:rsidP="00096EE3">
      <w:pPr>
        <w:spacing w:line="480" w:lineRule="auto"/>
        <w:ind w:left="720" w:hanging="720"/>
        <w:rPr>
          <w:rFonts w:ascii="Times New Roman" w:hAnsi="Times New Roman" w:cs="Times New Roman"/>
          <w:sz w:val="24"/>
          <w:szCs w:val="24"/>
        </w:rPr>
      </w:pPr>
      <w:r w:rsidRPr="00096EE3">
        <w:rPr>
          <w:rFonts w:ascii="Times New Roman" w:hAnsi="Times New Roman" w:cs="Times New Roman"/>
          <w:sz w:val="24"/>
          <w:szCs w:val="24"/>
          <w:shd w:val="clear" w:color="auto" w:fill="FFFFFF"/>
        </w:rPr>
        <w:t xml:space="preserve">Koo, K. H., Choi, J. S., </w:t>
      </w:r>
      <w:proofErr w:type="spellStart"/>
      <w:r w:rsidRPr="00096EE3">
        <w:rPr>
          <w:rFonts w:ascii="Times New Roman" w:hAnsi="Times New Roman" w:cs="Times New Roman"/>
          <w:sz w:val="24"/>
          <w:szCs w:val="24"/>
          <w:shd w:val="clear" w:color="auto" w:fill="FFFFFF"/>
        </w:rPr>
        <w:t>Ahn</w:t>
      </w:r>
      <w:proofErr w:type="spellEnd"/>
      <w:r w:rsidRPr="00096EE3">
        <w:rPr>
          <w:rFonts w:ascii="Times New Roman" w:hAnsi="Times New Roman" w:cs="Times New Roman"/>
          <w:sz w:val="24"/>
          <w:szCs w:val="24"/>
          <w:shd w:val="clear" w:color="auto" w:fill="FFFFFF"/>
        </w:rPr>
        <w:t xml:space="preserve">, J. H., Kwon, J. H., &amp; Cho, K. T. (2014). Comparison of clinical and physiological efficacies of different intermittent sequential pneumatic compression </w:t>
      </w:r>
      <w:r w:rsidRPr="00096EE3">
        <w:rPr>
          <w:rFonts w:ascii="Times New Roman" w:hAnsi="Times New Roman" w:cs="Times New Roman"/>
          <w:sz w:val="24"/>
          <w:szCs w:val="24"/>
          <w:shd w:val="clear" w:color="auto" w:fill="FFFFFF"/>
        </w:rPr>
        <w:lastRenderedPageBreak/>
        <w:t>devices in preventing deep vein thrombosis: a prospective randomized study. </w:t>
      </w:r>
      <w:r w:rsidRPr="00096EE3">
        <w:rPr>
          <w:rFonts w:ascii="Times New Roman" w:hAnsi="Times New Roman" w:cs="Times New Roman"/>
          <w:i/>
          <w:iCs/>
          <w:sz w:val="24"/>
          <w:szCs w:val="24"/>
          <w:shd w:val="clear" w:color="auto" w:fill="FFFFFF"/>
        </w:rPr>
        <w:t>Clinics in orthopedic surgery</w:t>
      </w:r>
      <w:r w:rsidRPr="00096EE3">
        <w:rPr>
          <w:rFonts w:ascii="Times New Roman" w:hAnsi="Times New Roman" w:cs="Times New Roman"/>
          <w:sz w:val="24"/>
          <w:szCs w:val="24"/>
          <w:shd w:val="clear" w:color="auto" w:fill="FFFFFF"/>
        </w:rPr>
        <w:t>, </w:t>
      </w:r>
      <w:r w:rsidRPr="00096EE3">
        <w:rPr>
          <w:rFonts w:ascii="Times New Roman" w:hAnsi="Times New Roman" w:cs="Times New Roman"/>
          <w:i/>
          <w:iCs/>
          <w:sz w:val="24"/>
          <w:szCs w:val="24"/>
          <w:shd w:val="clear" w:color="auto" w:fill="FFFFFF"/>
        </w:rPr>
        <w:t>6</w:t>
      </w:r>
      <w:r w:rsidRPr="00096EE3">
        <w:rPr>
          <w:rFonts w:ascii="Times New Roman" w:hAnsi="Times New Roman" w:cs="Times New Roman"/>
          <w:sz w:val="24"/>
          <w:szCs w:val="24"/>
          <w:shd w:val="clear" w:color="auto" w:fill="FFFFFF"/>
        </w:rPr>
        <w:t>(4), 468-475.</w:t>
      </w:r>
    </w:p>
    <w:p w14:paraId="56350F86" w14:textId="77777777" w:rsidR="000778A1" w:rsidRPr="00096EE3" w:rsidRDefault="000778A1" w:rsidP="00096EE3">
      <w:pPr>
        <w:spacing w:line="480" w:lineRule="auto"/>
        <w:ind w:left="720" w:hanging="720"/>
        <w:rPr>
          <w:rFonts w:ascii="Times New Roman" w:hAnsi="Times New Roman" w:cs="Times New Roman"/>
          <w:sz w:val="24"/>
          <w:szCs w:val="24"/>
        </w:rPr>
      </w:pPr>
    </w:p>
    <w:p w14:paraId="512630E0" w14:textId="77777777" w:rsidR="0031639A" w:rsidRPr="00096EE3" w:rsidRDefault="0031639A" w:rsidP="00096EE3">
      <w:pPr>
        <w:spacing w:line="480" w:lineRule="auto"/>
        <w:ind w:left="720" w:hanging="720"/>
        <w:rPr>
          <w:rFonts w:ascii="Times New Roman" w:hAnsi="Times New Roman" w:cs="Times New Roman"/>
          <w:sz w:val="24"/>
          <w:szCs w:val="24"/>
        </w:rPr>
      </w:pPr>
    </w:p>
    <w:p w14:paraId="15B4A856" w14:textId="7B246D36" w:rsidR="00153B0D" w:rsidRPr="00096EE3" w:rsidRDefault="00153B0D" w:rsidP="00096EE3">
      <w:pPr>
        <w:spacing w:line="480" w:lineRule="auto"/>
        <w:ind w:left="720" w:hanging="720"/>
        <w:rPr>
          <w:rFonts w:ascii="Times New Roman" w:hAnsi="Times New Roman" w:cs="Times New Roman"/>
          <w:sz w:val="24"/>
          <w:szCs w:val="24"/>
        </w:rPr>
      </w:pPr>
    </w:p>
    <w:sectPr w:rsidR="00153B0D" w:rsidRPr="00096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B0D"/>
    <w:rsid w:val="00027BEE"/>
    <w:rsid w:val="000778A1"/>
    <w:rsid w:val="00096EE3"/>
    <w:rsid w:val="00153B0D"/>
    <w:rsid w:val="001C0B88"/>
    <w:rsid w:val="002108C8"/>
    <w:rsid w:val="00251023"/>
    <w:rsid w:val="0025251F"/>
    <w:rsid w:val="00257533"/>
    <w:rsid w:val="0031639A"/>
    <w:rsid w:val="0036130B"/>
    <w:rsid w:val="003B2F08"/>
    <w:rsid w:val="006F07AE"/>
    <w:rsid w:val="009849A2"/>
    <w:rsid w:val="009E51B0"/>
    <w:rsid w:val="00C23281"/>
    <w:rsid w:val="00E734F7"/>
    <w:rsid w:val="00FF4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225BC"/>
  <w15:chartTrackingRefBased/>
  <w15:docId w15:val="{FA25A86B-1EB7-4243-892A-9A504D27A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6E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6E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4006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F0309-E157-4289-8DDE-B07E003CA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2020-07-19T12:07:00Z</dcterms:created>
  <dcterms:modified xsi:type="dcterms:W3CDTF">2020-07-19T15:22:00Z</dcterms:modified>
</cp:coreProperties>
</file>