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354"/>
      </w:tblGrid>
      <w:tr w:rsidR="004D7472" w:rsidRPr="004D7472" w14:paraId="5B87C4FF" w14:textId="77777777" w:rsidTr="004D7472">
        <w:tc>
          <w:tcPr>
            <w:tcW w:w="0" w:type="auto"/>
            <w:tcBorders>
              <w:top w:val="single" w:sz="2" w:space="0" w:color="auto"/>
              <w:left w:val="single" w:sz="2" w:space="0" w:color="000000"/>
              <w:bottom w:val="single" w:sz="2" w:space="0" w:color="auto"/>
              <w:right w:val="single" w:sz="2" w:space="0" w:color="000000"/>
            </w:tcBorders>
            <w:shd w:val="clear" w:color="auto" w:fill="FFFFFF"/>
            <w:vAlign w:val="center"/>
            <w:hideMark/>
          </w:tcPr>
          <w:p w14:paraId="5A0ADA3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DejaVuSans" w:eastAsia="Times New Roman" w:hAnsi="DejaVuSans" w:cs="Times New Roman"/>
                <w:sz w:val="12"/>
                <w:szCs w:val="12"/>
              </w:rPr>
              <w:t xml:space="preserve">See discussions, stats, and author profiles for this publication at: </w:t>
            </w:r>
            <w:r w:rsidRPr="004D7472">
              <w:rPr>
                <w:rFonts w:ascii="DejaVuSans" w:eastAsia="Times New Roman" w:hAnsi="DejaVuSans" w:cs="Times New Roman"/>
                <w:color w:val="3872A0"/>
                <w:sz w:val="12"/>
                <w:szCs w:val="12"/>
              </w:rPr>
              <w:t xml:space="preserve">https://www.researchgate.net/publication/259952438 </w:t>
            </w:r>
          </w:p>
          <w:p w14:paraId="6D625641"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DejaVuSans" w:eastAsia="Times New Roman" w:hAnsi="DejaVuSans" w:cs="Times New Roman"/>
                <w:sz w:val="26"/>
                <w:szCs w:val="26"/>
              </w:rPr>
              <w:t xml:space="preserve">Best practices in supporting the education of students with severe and low-incidence disabilities </w:t>
            </w:r>
          </w:p>
          <w:p w14:paraId="7093F97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DejaVuSans" w:eastAsia="Times New Roman" w:hAnsi="DejaVuSans" w:cs="Times New Roman"/>
                <w:b/>
                <w:bCs/>
                <w:color w:val="212121"/>
                <w:sz w:val="14"/>
                <w:szCs w:val="14"/>
              </w:rPr>
              <w:t xml:space="preserve">Chapter </w:t>
            </w:r>
            <w:r w:rsidRPr="004D7472">
              <w:rPr>
                <w:rFonts w:ascii="DejaVuSans" w:eastAsia="Times New Roman" w:hAnsi="DejaVuSans" w:cs="Times New Roman"/>
                <w:color w:val="333333"/>
                <w:sz w:val="14"/>
                <w:szCs w:val="14"/>
              </w:rPr>
              <w:t xml:space="preserve">· January 2008 </w:t>
            </w:r>
          </w:p>
          <w:p w14:paraId="77D7369B"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DejaVuSans" w:eastAsia="Times New Roman" w:hAnsi="DejaVuSans" w:cs="Times New Roman"/>
                <w:color w:val="333333"/>
                <w:sz w:val="10"/>
                <w:szCs w:val="10"/>
              </w:rPr>
              <w:t xml:space="preserve">CITATION READS </w:t>
            </w:r>
          </w:p>
          <w:p w14:paraId="1656BE70"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DejaVuSans" w:eastAsia="Times New Roman" w:hAnsi="DejaVuSans" w:cs="Times New Roman"/>
                <w:sz w:val="16"/>
                <w:szCs w:val="16"/>
              </w:rPr>
              <w:t xml:space="preserve">1 945 </w:t>
            </w:r>
          </w:p>
          <w:p w14:paraId="18D49858"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DejaVuSans" w:eastAsia="Times New Roman" w:hAnsi="DejaVuSans" w:cs="Times New Roman"/>
                <w:b/>
                <w:bCs/>
                <w:color w:val="212121"/>
                <w:sz w:val="14"/>
                <w:szCs w:val="14"/>
              </w:rPr>
              <w:t>4 authors</w:t>
            </w:r>
            <w:r w:rsidRPr="004D7472">
              <w:rPr>
                <w:rFonts w:ascii="DejaVuSans" w:eastAsia="Times New Roman" w:hAnsi="DejaVuSans" w:cs="Times New Roman"/>
                <w:color w:val="333333"/>
                <w:sz w:val="14"/>
                <w:szCs w:val="14"/>
              </w:rPr>
              <w:t xml:space="preserve">, including: </w:t>
            </w:r>
          </w:p>
          <w:p w14:paraId="2EE530A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DejaVuSans" w:eastAsia="Times New Roman" w:hAnsi="DejaVuSans" w:cs="Times New Roman"/>
                <w:color w:val="3872A0"/>
                <w:sz w:val="14"/>
                <w:szCs w:val="14"/>
              </w:rPr>
              <w:t xml:space="preserve">Kelly A. Powell-Smith </w:t>
            </w:r>
          </w:p>
          <w:p w14:paraId="2988317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DejaVuSans" w:eastAsia="Times New Roman" w:hAnsi="DejaVuSans" w:cs="Times New Roman"/>
                <w:color w:val="212121"/>
                <w:sz w:val="14"/>
                <w:szCs w:val="14"/>
              </w:rPr>
              <w:t xml:space="preserve">Dynamic Measurement Group </w:t>
            </w:r>
          </w:p>
          <w:p w14:paraId="68DF5270"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DejaVuSans" w:eastAsia="Times New Roman" w:hAnsi="DejaVuSans" w:cs="Times New Roman"/>
                <w:b/>
                <w:bCs/>
                <w:sz w:val="12"/>
                <w:szCs w:val="12"/>
              </w:rPr>
              <w:t xml:space="preserve">29 </w:t>
            </w:r>
            <w:r w:rsidRPr="004D7472">
              <w:rPr>
                <w:rFonts w:ascii="DejaVuSans" w:eastAsia="Times New Roman" w:hAnsi="DejaVuSans" w:cs="Times New Roman"/>
                <w:color w:val="333333"/>
                <w:sz w:val="10"/>
                <w:szCs w:val="10"/>
              </w:rPr>
              <w:t xml:space="preserve">PUBLICATIONS </w:t>
            </w:r>
            <w:r w:rsidRPr="004D7472">
              <w:rPr>
                <w:rFonts w:ascii="DejaVuSans" w:eastAsia="Times New Roman" w:hAnsi="DejaVuSans" w:cs="Times New Roman"/>
                <w:b/>
                <w:bCs/>
                <w:sz w:val="12"/>
                <w:szCs w:val="12"/>
              </w:rPr>
              <w:t xml:space="preserve">586 </w:t>
            </w:r>
            <w:r w:rsidRPr="004D7472">
              <w:rPr>
                <w:rFonts w:ascii="DejaVuSans" w:eastAsia="Times New Roman" w:hAnsi="DejaVuSans" w:cs="Times New Roman"/>
                <w:color w:val="333333"/>
                <w:sz w:val="10"/>
                <w:szCs w:val="10"/>
              </w:rPr>
              <w:t xml:space="preserve">CITATIONS </w:t>
            </w:r>
            <w:r w:rsidRPr="004D7472">
              <w:rPr>
                <w:rFonts w:ascii="DejaVuSans" w:eastAsia="Times New Roman" w:hAnsi="DejaVuSans" w:cs="Times New Roman"/>
                <w:color w:val="333333"/>
                <w:sz w:val="10"/>
                <w:szCs w:val="10"/>
                <w:shd w:val="clear" w:color="auto" w:fill="FFFFFF"/>
              </w:rPr>
              <w:t xml:space="preserve">SEE PROFILE </w:t>
            </w:r>
          </w:p>
          <w:p w14:paraId="5A6A7E35"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DejaVuSans" w:eastAsia="Times New Roman" w:hAnsi="DejaVuSans" w:cs="Times New Roman"/>
                <w:color w:val="3872A0"/>
                <w:sz w:val="14"/>
                <w:szCs w:val="14"/>
              </w:rPr>
              <w:t xml:space="preserve">Frank J. Sansosti </w:t>
            </w:r>
          </w:p>
          <w:p w14:paraId="4278AA32"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DejaVuSans" w:eastAsia="Times New Roman" w:hAnsi="DejaVuSans" w:cs="Times New Roman"/>
                <w:color w:val="212121"/>
                <w:sz w:val="14"/>
                <w:szCs w:val="14"/>
              </w:rPr>
              <w:t xml:space="preserve">Kent State University </w:t>
            </w:r>
          </w:p>
          <w:p w14:paraId="2A260C11"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DejaVuSans" w:eastAsia="Times New Roman" w:hAnsi="DejaVuSans" w:cs="Times New Roman"/>
                <w:b/>
                <w:bCs/>
                <w:sz w:val="12"/>
                <w:szCs w:val="12"/>
              </w:rPr>
              <w:t xml:space="preserve">37 </w:t>
            </w:r>
            <w:r w:rsidRPr="004D7472">
              <w:rPr>
                <w:rFonts w:ascii="DejaVuSans" w:eastAsia="Times New Roman" w:hAnsi="DejaVuSans" w:cs="Times New Roman"/>
                <w:color w:val="333333"/>
                <w:sz w:val="10"/>
                <w:szCs w:val="10"/>
              </w:rPr>
              <w:t xml:space="preserve">PUBLICATIONS </w:t>
            </w:r>
            <w:r w:rsidRPr="004D7472">
              <w:rPr>
                <w:rFonts w:ascii="DejaVuSans" w:eastAsia="Times New Roman" w:hAnsi="DejaVuSans" w:cs="Times New Roman"/>
                <w:b/>
                <w:bCs/>
                <w:sz w:val="12"/>
                <w:szCs w:val="12"/>
              </w:rPr>
              <w:t xml:space="preserve">592 </w:t>
            </w:r>
            <w:r w:rsidRPr="004D7472">
              <w:rPr>
                <w:rFonts w:ascii="DejaVuSans" w:eastAsia="Times New Roman" w:hAnsi="DejaVuSans" w:cs="Times New Roman"/>
                <w:color w:val="333333"/>
                <w:sz w:val="10"/>
                <w:szCs w:val="10"/>
              </w:rPr>
              <w:t xml:space="preserve">CITATIONS </w:t>
            </w:r>
            <w:r w:rsidRPr="004D7472">
              <w:rPr>
                <w:rFonts w:ascii="DejaVuSans" w:eastAsia="Times New Roman" w:hAnsi="DejaVuSans" w:cs="Times New Roman"/>
                <w:color w:val="333333"/>
                <w:sz w:val="10"/>
                <w:szCs w:val="10"/>
                <w:shd w:val="clear" w:color="auto" w:fill="FFFFFF"/>
              </w:rPr>
              <w:t xml:space="preserve">SEE PROFILE </w:t>
            </w:r>
          </w:p>
          <w:p w14:paraId="10A9C218" w14:textId="25F894EB"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"/var/folders/l7/xsyc8qd571z0x_9_w06b59480000gn/T/com.microsoft.Word/WebArchiveCopyPasteTempFiles/page1image38745792"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1A00001D" wp14:editId="0B53B94E">
                  <wp:extent cx="2831465" cy="2743200"/>
                  <wp:effectExtent l="0" t="0" r="635" b="0"/>
                  <wp:docPr id="57" name="Picture 57" descr="page1image38745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874579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31465" cy="274320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"/var/folders/l7/xsyc8qd571z0x_9_w06b59480000gn/T/com.microsoft.Word/WebArchiveCopyPasteTempFiles/page1image38740032"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0D112018" wp14:editId="0C24A2C5">
                  <wp:extent cx="2831465" cy="2743200"/>
                  <wp:effectExtent l="0" t="0" r="635" b="0"/>
                  <wp:docPr id="56" name="Picture 56" descr="page1image3874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image3874003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31465" cy="274320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"/var/folders/l7/xsyc8qd571z0x_9_w06b59480000gn/T/com.microsoft.Word/WebArchiveCopyPasteTempFiles/page1image45042320"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6508FE1A" wp14:editId="29838DEF">
                  <wp:extent cx="240665" cy="240665"/>
                  <wp:effectExtent l="0" t="0" r="635" b="635"/>
                  <wp:docPr id="55" name="Picture 55" descr="page1image4504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4504232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0665" cy="240665"/>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"/var/folders/l7/xsyc8qd571z0x_9_w06b59480000gn/T/com.microsoft.Word/WebArchiveCopyPasteTempFiles/page1image45042528"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25090CEE" wp14:editId="244E7BC0">
                  <wp:extent cx="240665" cy="240665"/>
                  <wp:effectExtent l="0" t="0" r="635" b="635"/>
                  <wp:docPr id="54" name="Picture 54" descr="page1image45042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1image4504252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0665" cy="240665"/>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tc>
      </w:tr>
      <w:tr w:rsidR="004D7472" w:rsidRPr="004D7472" w14:paraId="65A975E1" w14:textId="77777777" w:rsidTr="004D7472">
        <w:tc>
          <w:tcPr>
            <w:tcW w:w="0" w:type="auto"/>
            <w:tcBorders>
              <w:top w:val="single" w:sz="2" w:space="0" w:color="auto"/>
              <w:left w:val="single" w:sz="2" w:space="0" w:color="000000"/>
              <w:bottom w:val="single" w:sz="2" w:space="0" w:color="000000"/>
              <w:right w:val="single" w:sz="2" w:space="0" w:color="000000"/>
            </w:tcBorders>
            <w:shd w:val="clear" w:color="auto" w:fill="FFFFFF"/>
            <w:vAlign w:val="center"/>
            <w:hideMark/>
          </w:tcPr>
          <w:p w14:paraId="029D3FE9"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DejaVuSans" w:eastAsia="Times New Roman" w:hAnsi="DejaVuSans" w:cs="Times New Roman"/>
                <w:sz w:val="14"/>
                <w:szCs w:val="14"/>
              </w:rPr>
              <w:t xml:space="preserve">All content following this page was uploaded by </w:t>
            </w:r>
            <w:r w:rsidRPr="004D7472">
              <w:rPr>
                <w:rFonts w:ascii="DejaVuSans" w:eastAsia="Times New Roman" w:hAnsi="DejaVuSans" w:cs="Times New Roman"/>
                <w:color w:val="3872A0"/>
                <w:sz w:val="14"/>
                <w:szCs w:val="14"/>
              </w:rPr>
              <w:t xml:space="preserve">Frank J. Sansosti </w:t>
            </w:r>
            <w:r w:rsidRPr="004D7472">
              <w:rPr>
                <w:rFonts w:ascii="DejaVuSans" w:eastAsia="Times New Roman" w:hAnsi="DejaVuSans" w:cs="Times New Roman"/>
                <w:sz w:val="14"/>
                <w:szCs w:val="14"/>
              </w:rPr>
              <w:t xml:space="preserve">on 30 January 2014. </w:t>
            </w:r>
            <w:r w:rsidRPr="004D7472">
              <w:rPr>
                <w:rFonts w:ascii="DejaVuSans" w:eastAsia="Times New Roman" w:hAnsi="DejaVuSans" w:cs="Times New Roman"/>
                <w:sz w:val="10"/>
                <w:szCs w:val="10"/>
              </w:rPr>
              <w:t xml:space="preserve">The user has requested enhancement of the downloaded file. </w:t>
            </w:r>
          </w:p>
        </w:tc>
      </w:tr>
    </w:tbl>
    <w:p w14:paraId="311C2756" w14:textId="5D58EAED"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lastRenderedPageBreak/>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"/var/folders/l7/xsyc8qd571z0x_9_w06b59480000gn/T/com.microsoft.Word/WebArchiveCopyPasteTempFiles/page2image38746368"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6741C600" wp14:editId="10E5DCEB">
            <wp:extent cx="5943600" cy="2619375"/>
            <wp:effectExtent l="0" t="0" r="0" b="0"/>
            <wp:docPr id="53" name="Picture 53" descr="page2image38746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2image387463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619375"/>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"/var/folders/l7/xsyc8qd571z0x_9_w06b59480000gn/T/com.microsoft.Word/WebArchiveCopyPasteTempFiles/page2image38736192"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6155C909" wp14:editId="520EEFF6">
            <wp:extent cx="48260" cy="112395"/>
            <wp:effectExtent l="0" t="0" r="2540" b="1905"/>
            <wp:docPr id="52" name="Picture 52" descr="page2image38736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2image3873619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260" cy="112395"/>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"/var/folders/l7/xsyc8qd571z0x_9_w06b59480000gn/T/com.microsoft.Word/WebArchiveCopyPasteTempFiles/page2image38744064"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330E52B6" wp14:editId="2C710746">
            <wp:extent cx="1267460" cy="112395"/>
            <wp:effectExtent l="0" t="0" r="2540" b="1905"/>
            <wp:docPr id="51" name="Picture 51" descr="page2image38744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2image3874406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67460" cy="112395"/>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201DDC9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50" w:eastAsia="Times New Roman" w:hAnsi="AdvP6A50" w:cs="Times New Roman"/>
          <w:sz w:val="48"/>
          <w:szCs w:val="48"/>
        </w:rPr>
        <w:t xml:space="preserve">Best Practices in Supporting the Education of Students With Severe and Low-Incidence </w:t>
      </w:r>
    </w:p>
    <w:p w14:paraId="34A5731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5A" w:eastAsia="Times New Roman" w:hAnsi="AdvP6A5A" w:cs="Times New Roman"/>
          <w:color w:val="999999"/>
          <w:sz w:val="72"/>
          <w:szCs w:val="72"/>
        </w:rPr>
        <w:t xml:space="preserve">76 </w:t>
      </w:r>
      <w:r w:rsidRPr="004D7472">
        <w:rPr>
          <w:rFonts w:ascii="AdvP6A50" w:eastAsia="Times New Roman" w:hAnsi="AdvP6A50" w:cs="Times New Roman"/>
          <w:sz w:val="48"/>
          <w:szCs w:val="48"/>
        </w:rPr>
        <w:t xml:space="preserve">Disabilities </w:t>
      </w:r>
    </w:p>
    <w:p w14:paraId="4A3CFD1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50" w:eastAsia="Times New Roman" w:hAnsi="AdvP6A50" w:cs="Times New Roman"/>
        </w:rPr>
        <w:t xml:space="preserve">OVERVIEW </w:t>
      </w:r>
    </w:p>
    <w:p w14:paraId="20C63CF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The population of students described as having severe and low-incidence disabilities represents a diverse and heterogeneous group. Students with severe and low- incidence disabilities may include individuals with intellectual disabilities such as moderate, severe, and profound mental retardation; subpopulations of autism; individuals with dual sensory impairments; and students with multiple disabilities (Westling &amp; Fox, 2004). Although severe and low-incidence disabilities only account for a small percent of all students served under the 2004 reauthorization of the Individuals with Disabilities Education Act (IDEA), their prevalence has increased steadily since 1992. For example, the number of students served under the categories of mental retardation and multiple disabilities has increased 13.70% and 24.28%, respectively, from 1992 to 2002 (U.S. Department of Education, 2003). Perhaps more alarming has been the more than 580% increase in the number of students receiving services for autism (U.S. Department of Education, 2003). One factor related to the increase in students with severe disabilities is the ever increasing rate of extremely premature infants. </w:t>
      </w:r>
    </w:p>
    <w:p w14:paraId="701E8362"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0F" w:eastAsia="Times New Roman" w:hAnsi="AdvP4980F" w:cs="Times New Roman"/>
          <w:sz w:val="28"/>
          <w:szCs w:val="28"/>
        </w:rPr>
        <w:t xml:space="preserve">Kelly A. Powell-Smith </w:t>
      </w:r>
    </w:p>
    <w:p w14:paraId="5DA33FC2"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2" w:eastAsia="Times New Roman" w:hAnsi="AdvP49812" w:cs="Times New Roman"/>
          <w:sz w:val="28"/>
          <w:szCs w:val="28"/>
        </w:rPr>
        <w:t xml:space="preserve">Dynamic Measurement Group, Eugene, OR </w:t>
      </w:r>
    </w:p>
    <w:p w14:paraId="5AD1EAB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0F" w:eastAsia="Times New Roman" w:hAnsi="AdvP4980F" w:cs="Times New Roman"/>
          <w:sz w:val="28"/>
          <w:szCs w:val="28"/>
        </w:rPr>
        <w:t xml:space="preserve">Gary Stoner </w:t>
      </w:r>
    </w:p>
    <w:p w14:paraId="422738C4"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2" w:eastAsia="Times New Roman" w:hAnsi="AdvP49812" w:cs="Times New Roman"/>
          <w:sz w:val="28"/>
          <w:szCs w:val="28"/>
        </w:rPr>
        <w:t xml:space="preserve">University of Rhode Island </w:t>
      </w:r>
    </w:p>
    <w:p w14:paraId="75B98474"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0F" w:eastAsia="Times New Roman" w:hAnsi="AdvP4980F" w:cs="Times New Roman"/>
          <w:sz w:val="28"/>
          <w:szCs w:val="28"/>
        </w:rPr>
        <w:lastRenderedPageBreak/>
        <w:t xml:space="preserve">Karen J. Bilter </w:t>
      </w:r>
    </w:p>
    <w:p w14:paraId="691B3A64"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2" w:eastAsia="Times New Roman" w:hAnsi="AdvP49812" w:cs="Times New Roman"/>
          <w:sz w:val="28"/>
          <w:szCs w:val="28"/>
        </w:rPr>
        <w:t xml:space="preserve">Educational Service District 112 (WA) </w:t>
      </w:r>
    </w:p>
    <w:p w14:paraId="549C100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0F" w:eastAsia="Times New Roman" w:hAnsi="AdvP4980F" w:cs="Times New Roman"/>
          <w:sz w:val="28"/>
          <w:szCs w:val="28"/>
        </w:rPr>
        <w:t xml:space="preserve">Frank J. Sansosti </w:t>
      </w:r>
    </w:p>
    <w:p w14:paraId="021FC67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2" w:eastAsia="Times New Roman" w:hAnsi="AdvP49812" w:cs="Times New Roman"/>
          <w:sz w:val="28"/>
          <w:szCs w:val="28"/>
        </w:rPr>
        <w:t xml:space="preserve">Kent State University </w:t>
      </w:r>
    </w:p>
    <w:p w14:paraId="180EA379"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Moreover, it has been established that extremely premature infants will display severe cognitive or physical impairments at 6 years of age compared to typically developing classmates (Vohr &amp; Allen, 2005). Although not all of the increasing numbers of students identified with more severe disabilities will require ongoing supports, it is sufficient to say that increases in students with severe and low incidence disabilities will likely affect the number of students in need of ongoing educational supports in one or more life activities. </w:t>
      </w:r>
    </w:p>
    <w:p w14:paraId="04A20851"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Not only has the number of students with severe and low-incidence disabilities increased, the emphases of educational goals and service delivery systems have changed substantially since the 1975 passage of the Education of the Handicapped Act (Evans, Brown, Weed, Spry, &amp; Owen, 1987). For example, the focus and context of curricula have shifted from instruction in developmentally referenced behaviors (e.g., fine motor skills) to instruction in functional skills within activity- based routines of daily living (e.g., using money skills to provide correct change for a purchase). Relatedly, consideration of where students with severe and low- incidence disabilities should receive instruction has proceeded from separate schools and classrooms to a </w:t>
      </w:r>
    </w:p>
    <w:p w14:paraId="5725CE1C"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1233 </w:t>
      </w:r>
    </w:p>
    <w:p w14:paraId="6060FB56" w14:textId="78306C95"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"/var/folders/l7/xsyc8qd571z0x_9_w06b59480000gn/T/com.microsoft.Word/WebArchiveCopyPasteTempFiles/page2image38625344"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4787CDEF" wp14:editId="017ECAA2">
            <wp:extent cx="5943600" cy="15240"/>
            <wp:effectExtent l="0" t="0" r="0" b="0"/>
            <wp:docPr id="50" name="Picture 50" descr="page2image38625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2image386253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0396F30E" w14:textId="4DEDA14D"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"/var/folders/l7/xsyc8qd571z0x_9_w06b59480000gn/T/com.microsoft.Word/WebArchiveCopyPasteTempFiles/page3image38668352"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3FF41E0B" wp14:editId="0BAB83D8">
            <wp:extent cx="5943600" cy="15240"/>
            <wp:effectExtent l="0" t="0" r="0" b="0"/>
            <wp:docPr id="49" name="Picture 49" descr="page3image38668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3image3866835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50F7074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B" w:eastAsia="Times New Roman" w:hAnsi="AdvP6A4B" w:cs="Times New Roman"/>
          <w:sz w:val="18"/>
          <w:szCs w:val="18"/>
        </w:rPr>
        <w:t xml:space="preserve">Best Practices in School Psychology V </w:t>
      </w:r>
    </w:p>
    <w:p w14:paraId="2FDEE232"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current emphasis on inclusion in more typical and integrated educational and community settings. Also, there has been a shift in thinking about what to teach, from skills of dubious utility (e.g., stringing beads, placing pegs onto pegboards) to instructional activities that focus on skills that lead to greater employability and self-determination in natural home, school, and com- munity settings (e.g., meal preparation, reading, grocery shopping; Giangreco &amp; Meyer, 1988; Horner, Dunlap, &amp; Koegel, 1988; Shipley-Benamou, Lutzker, &amp; Taubman, 2002; Westling &amp; Fox, 2004). Finally, the focus of educational outcomes for these students has expanded beyond functional skills to include such issues as quality of life, self-determination, choice making, and preferences (Brown, Snell, &amp; Lehr, 2006). </w:t>
      </w:r>
    </w:p>
    <w:p w14:paraId="149862D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The changes described are consistent with recent special education reform efforts promoting the position that, to the greatest extent possible, educational services for children with disabilities should be provided within general education classrooms (Will, 1986) and in neighborhood schools (Knight, 1999; Nisbet, Jorgenson, &amp; Powers, 1994). The changes also are consistent with the legal mandates of the 2004 revision of IDEA requiring </w:t>
      </w:r>
      <w:r w:rsidRPr="004D7472">
        <w:rPr>
          <w:rFonts w:ascii="AdvP49812" w:eastAsia="Times New Roman" w:hAnsi="AdvP49812" w:cs="Times New Roman"/>
          <w:sz w:val="20"/>
          <w:szCs w:val="20"/>
        </w:rPr>
        <w:t xml:space="preserve">both </w:t>
      </w:r>
      <w:r w:rsidRPr="004D7472">
        <w:rPr>
          <w:rFonts w:ascii="AdvP49811" w:eastAsia="Times New Roman" w:hAnsi="AdvP49811" w:cs="Times New Roman"/>
          <w:sz w:val="20"/>
          <w:szCs w:val="20"/>
        </w:rPr>
        <w:t xml:space="preserve">individualized educational programs in the least restrictive environments (LRE) and assessment processes that contribute meaningful information to interventions and facilitate students’ learning. Given that psychoeduca- tional assessment and program development recommen- dations are primary activities of school psychologists (Fagan &amp; Wise, 2000), the changes described here create greater demands on school psychologists and call for increased knowledge regarding evidence-based service delivery practices for students with severe and low- incidence disabilities. </w:t>
      </w:r>
    </w:p>
    <w:p w14:paraId="3515BC29"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The school psychologist’s role in assessment often is constrained to student-focused evaluations involving the administration of published norm-referenced tests of intelligence or aptitude as well as adaptive behavior </w:t>
      </w:r>
      <w:r w:rsidRPr="004D7472">
        <w:rPr>
          <w:rFonts w:ascii="AdvP49811" w:eastAsia="Times New Roman" w:hAnsi="AdvP49811" w:cs="Times New Roman"/>
          <w:sz w:val="20"/>
          <w:szCs w:val="20"/>
        </w:rPr>
        <w:lastRenderedPageBreak/>
        <w:t xml:space="preserve">inventories (Fagan &amp; Wise, 2000). The results of these types of norm-referenced assessment procedures prim- arily have been used to make special education eligibility determinations. Consistent with legal requirements, school psychologists’ involvement in assessment typically occurs both upon entry into the special services system and at least every 3 years thereafter. However, these procedures typically yield little information valid for making decisions regarding instructional programming or identifying the LRE for individual students (President’s Commission on Excellence in Special Education, 2002). </w:t>
      </w:r>
    </w:p>
    <w:p w14:paraId="1DE03EB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Improved school psychological services to students with severe and low-incidence disabilities requires school </w:t>
      </w:r>
    </w:p>
    <w:p w14:paraId="3ED3F4A9"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psychologists and other student services personnel to focus on integrating (a) psychological and educational assessments that yield information useful for making instructional programming and setting decisions; (b) the development of functional curricula and instructional routines, as well as modifications to the general education curriculum; (c) the development of behavior support plans; and (d) collaborative problem solving with parents, teachers, students, and other members of the community. This approach to practice is consistent with both historical (e.g., Reschly, 1988a, 1988b) and more recent (e.g., Reschly &amp; Yssekdyke, 2002; Ysseldyke et al., 2006) calls for reforms in school psychology in general as well as those specifically related to assessment and intervention for students with low-incidence dis- abilities (e.g., Cole &amp; Shapiro, 2005). Yet, while many school psychologists already engage in activities consist- ent with these calls for reform, the specific activities required for working with this population in the context of a problem-solving model of service delivery have not been delineated in the school psychology literature. </w:t>
      </w:r>
    </w:p>
    <w:p w14:paraId="645DD7FA"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Given the heterogeneity of students with severe and low-incidence disabilities and the environments to be considered for assessment and intervention, the chal- lenge to school psychologists is formidable. Thus, a strategic approach to practice is needed. </w:t>
      </w:r>
    </w:p>
    <w:p w14:paraId="7F3370D3"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This chapter presents a coherent and integrated model of school psychology services for students with severe and low-incidence disabilities that is consistent with changes in educational practices for these students, reforms in school psychology practice, the guidelines of IDEA, and the recommendations of the President’s Commission on Excellence in Special Education. A best practice model is presented as a guide to providing school psychology services that contribute to meaningful and positive outcomes for individuals with severe and low-incidence disabilities. The model is based on foundations derived from the legal mandates of IDEA, the values position that normalization is a primary goal of service delivery, and a three-tiered problem-solving approach to school psychology practice (see Tilly, chapter 2, vol. 1). Specific strategies are presented as action statements intended to guide practice. In addition, examples of intervention-oriented assessment tactics are presented within a problem-solving model. The components of the model are outlined in Figure 1. </w:t>
      </w:r>
    </w:p>
    <w:p w14:paraId="737C5B24"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50" w:eastAsia="Times New Roman" w:hAnsi="AdvP6A50" w:cs="Times New Roman"/>
        </w:rPr>
        <w:t xml:space="preserve">BASIC CONSIDERATIONS </w:t>
      </w:r>
    </w:p>
    <w:p w14:paraId="04C1641A"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Collectively, the model’s foundations of normalization, education in the LRE, and positive behavioral support </w:t>
      </w:r>
    </w:p>
    <w:p w14:paraId="0A29DBD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1234 </w:t>
      </w:r>
    </w:p>
    <w:p w14:paraId="02E388E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Chapter 76, Volume 4 </w:t>
      </w:r>
    </w:p>
    <w:p w14:paraId="6E077F19" w14:textId="7C340C16"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"/var/folders/l7/xsyc8qd571z0x_9_w06b59480000gn/T/com.microsoft.Word/WebArchiveCopyPasteTempFiles/page3image38684928"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13316C22" wp14:editId="4A821A34">
            <wp:extent cx="5943600" cy="15240"/>
            <wp:effectExtent l="0" t="0" r="0" b="0"/>
            <wp:docPr id="48" name="Picture 48" descr="page3image38684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3image386849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30A3CDFB" w14:textId="015D72E3"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"/var/folders/l7/xsyc8qd571z0x_9_w06b59480000gn/T/com.microsoft.Word/WebArchiveCopyPasteTempFiles/page4image38673536"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6A0E098C" wp14:editId="75455F14">
            <wp:extent cx="5943600" cy="15240"/>
            <wp:effectExtent l="0" t="0" r="0" b="0"/>
            <wp:docPr id="47" name="Picture 47" descr="page4image38673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4image386735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1721F652"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50" w:eastAsia="Times New Roman" w:hAnsi="AdvP6A50" w:cs="Times New Roman"/>
          <w:sz w:val="20"/>
          <w:szCs w:val="20"/>
        </w:rPr>
        <w:t xml:space="preserve">Figure 1. </w:t>
      </w:r>
      <w:r w:rsidRPr="004D7472">
        <w:rPr>
          <w:rFonts w:ascii="AdvP4980F" w:eastAsia="Times New Roman" w:hAnsi="AdvP4980F" w:cs="Times New Roman"/>
          <w:sz w:val="20"/>
          <w:szCs w:val="20"/>
        </w:rPr>
        <w:t xml:space="preserve">Components to facilitate best practice educational service delivery for students with severe disabilities: Implementing a problem-solving model. </w:t>
      </w:r>
    </w:p>
    <w:p w14:paraId="0CF35CFE"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B" w:eastAsia="Times New Roman" w:hAnsi="AdvP6A4B" w:cs="Times New Roman"/>
          <w:sz w:val="18"/>
          <w:szCs w:val="18"/>
        </w:rPr>
        <w:t xml:space="preserve">Supporting the Education </w:t>
      </w:r>
    </w:p>
    <w:p w14:paraId="6F432E6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BaskervilleMT" w:eastAsia="Times New Roman" w:hAnsi="BaskervilleMT" w:cs="Times New Roman"/>
          <w:b/>
          <w:bCs/>
          <w:sz w:val="18"/>
          <w:szCs w:val="18"/>
        </w:rPr>
        <w:lastRenderedPageBreak/>
        <w:t xml:space="preserve">Conceptual Foundations </w:t>
      </w:r>
    </w:p>
    <w:p w14:paraId="7F57ECB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BaskervilleMT" w:eastAsia="Times New Roman" w:hAnsi="BaskervilleMT" w:cs="Times New Roman"/>
          <w:b/>
          <w:bCs/>
          <w:sz w:val="18"/>
          <w:szCs w:val="18"/>
        </w:rPr>
        <w:t xml:space="preserve">S T R A E G I E S </w:t>
      </w:r>
    </w:p>
    <w:p w14:paraId="6B22589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BaskervilleMT" w:eastAsia="Times New Roman" w:hAnsi="BaskervilleMT" w:cs="Times New Roman"/>
          <w:b/>
          <w:bCs/>
          <w:sz w:val="18"/>
          <w:szCs w:val="18"/>
        </w:rPr>
        <w:t xml:space="preserve">P R O C E S S </w:t>
      </w:r>
    </w:p>
    <w:p w14:paraId="1FAD86C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BaskervilleMT" w:eastAsia="Times New Roman" w:hAnsi="BaskervilleMT" w:cs="Times New Roman"/>
          <w:b/>
          <w:bCs/>
          <w:sz w:val="18"/>
          <w:szCs w:val="18"/>
        </w:rPr>
        <w:t xml:space="preserve">T A C T I C S </w:t>
      </w:r>
    </w:p>
    <w:p w14:paraId="5F1845C0"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form the basis for educational service delivery involving students with severe and low-incidence disabilities. In utilizing the model, each educational decision, practice, or plan made, be it assessment, instruction, or intervention related, is linked to the three foundations, either individually or in combination. </w:t>
      </w:r>
    </w:p>
    <w:p w14:paraId="4138BF33"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Each foundation has a separate derivation, but each follows from public policy. Normalization is based upon cultural values, education in the LRE is based in law, and positive behavioral support is rooted in the professional area of applied behavior analysis (Carr &amp; Sidener, 2002; Koegel, Koegel, &amp; Dunlap, 1996). These foundations are mutually supportive, with each contrib- uting substance and breadth (i.e., generalizability) to the overall model. Notably, each of these foundations has been addressed individually in the literature, some extensively, regarding their benefits to this population specifically. </w:t>
      </w:r>
    </w:p>
    <w:p w14:paraId="390BE94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0F" w:eastAsia="Times New Roman" w:hAnsi="AdvP4980F" w:cs="Times New Roman"/>
          <w:sz w:val="22"/>
          <w:szCs w:val="22"/>
        </w:rPr>
        <w:t xml:space="preserve">Normalization </w:t>
      </w:r>
    </w:p>
    <w:p w14:paraId="1902571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The model’s initial foundation is referred to as the principle of normalization (Nirje, 1969; Wolfensberger, 1972). The premise of normalization is that the goals of and opportunities for persons without disabilities also </w:t>
      </w:r>
    </w:p>
    <w:p w14:paraId="09D4BE18"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BaskervilleMT" w:eastAsia="Times New Roman" w:hAnsi="BaskervilleMT" w:cs="Times New Roman"/>
          <w:b/>
          <w:bCs/>
          <w:sz w:val="16"/>
          <w:szCs w:val="16"/>
          <w:shd w:val="clear" w:color="auto" w:fill="FFFFFF"/>
        </w:rPr>
        <w:t xml:space="preserve">LRE Normalization </w:t>
      </w:r>
    </w:p>
    <w:p w14:paraId="418D47EE"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BaskervilleMT" w:eastAsia="Times New Roman" w:hAnsi="BaskervilleMT" w:cs="Times New Roman"/>
          <w:b/>
          <w:bCs/>
          <w:sz w:val="16"/>
          <w:szCs w:val="16"/>
          <w:shd w:val="clear" w:color="auto" w:fill="FFFFFF"/>
        </w:rPr>
        <w:t xml:space="preserve">Positive behavioral support </w:t>
      </w:r>
    </w:p>
    <w:tbl>
      <w:tblPr>
        <w:tblW w:w="0" w:type="auto"/>
        <w:tblCellMar>
          <w:top w:w="15" w:type="dxa"/>
          <w:left w:w="15" w:type="dxa"/>
          <w:bottom w:w="15" w:type="dxa"/>
          <w:right w:w="15" w:type="dxa"/>
        </w:tblCellMar>
        <w:tblLook w:val="04A0" w:firstRow="1" w:lastRow="0" w:firstColumn="1" w:lastColumn="0" w:noHBand="0" w:noVBand="1"/>
      </w:tblPr>
      <w:tblGrid>
        <w:gridCol w:w="2095"/>
        <w:gridCol w:w="2560"/>
      </w:tblGrid>
      <w:tr w:rsidR="004D7472" w:rsidRPr="004D7472" w14:paraId="5985FACC" w14:textId="77777777" w:rsidTr="004D7472">
        <w:tc>
          <w:tcPr>
            <w:tcW w:w="0" w:type="auto"/>
            <w:tcBorders>
              <w:top w:val="single" w:sz="4" w:space="0" w:color="191616"/>
              <w:left w:val="single" w:sz="4" w:space="0" w:color="191616"/>
              <w:bottom w:val="single" w:sz="4" w:space="0" w:color="191616"/>
              <w:right w:val="single" w:sz="36" w:space="0" w:color="141111"/>
            </w:tcBorders>
            <w:shd w:val="clear" w:color="auto" w:fill="FFFFFF"/>
            <w:vAlign w:val="center"/>
            <w:hideMark/>
          </w:tcPr>
          <w:p w14:paraId="640D4B8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BaskervilleMT" w:eastAsia="Times New Roman" w:hAnsi="BaskervilleMT" w:cs="Times New Roman"/>
                <w:sz w:val="16"/>
                <w:szCs w:val="16"/>
              </w:rPr>
              <w:t xml:space="preserve">Criterion of ultimate functioning </w:t>
            </w:r>
          </w:p>
        </w:tc>
        <w:tc>
          <w:tcPr>
            <w:tcW w:w="0" w:type="auto"/>
            <w:tcBorders>
              <w:top w:val="single" w:sz="4" w:space="0" w:color="191616"/>
              <w:left w:val="single" w:sz="36" w:space="0" w:color="141111"/>
              <w:bottom w:val="single" w:sz="4" w:space="0" w:color="191616"/>
              <w:right w:val="single" w:sz="2" w:space="0" w:color="191616"/>
            </w:tcBorders>
            <w:shd w:val="clear" w:color="auto" w:fill="FFFFFF"/>
            <w:vAlign w:val="center"/>
            <w:hideMark/>
          </w:tcPr>
          <w:p w14:paraId="6D18551C"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BaskervilleMT" w:eastAsia="Times New Roman" w:hAnsi="BaskervilleMT" w:cs="Times New Roman"/>
                <w:sz w:val="16"/>
                <w:szCs w:val="16"/>
              </w:rPr>
              <w:t xml:space="preserve">Criterion of least dangerous assumption </w:t>
            </w:r>
          </w:p>
        </w:tc>
      </w:tr>
    </w:tbl>
    <w:p w14:paraId="03F3460B" w14:textId="5225605E"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"/var/folders/l7/xsyc8qd571z0x_9_w06b59480000gn/T/com.microsoft.Word/WebArchiveCopyPasteTempFiles/page4image61560064"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37913EB7" wp14:editId="0C812998">
            <wp:extent cx="569595" cy="344805"/>
            <wp:effectExtent l="0" t="0" r="1905" b="0"/>
            <wp:docPr id="46" name="Picture 46" descr="page4image61560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4image6156006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9595" cy="344805"/>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"/var/folders/l7/xsyc8qd571z0x_9_w06b59480000gn/T/com.microsoft.Word/WebArchiveCopyPasteTempFiles/page4image61563312"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5A1FB9D0" wp14:editId="78A86F22">
            <wp:extent cx="441325" cy="344805"/>
            <wp:effectExtent l="0" t="0" r="3175" b="0"/>
            <wp:docPr id="45" name="Picture 45" descr="page4image61563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4image615633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1325" cy="344805"/>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tbl>
      <w:tblPr>
        <w:tblW w:w="0" w:type="auto"/>
        <w:tblCellMar>
          <w:top w:w="15" w:type="dxa"/>
          <w:left w:w="15" w:type="dxa"/>
          <w:bottom w:w="15" w:type="dxa"/>
          <w:right w:w="15" w:type="dxa"/>
        </w:tblCellMar>
        <w:tblLook w:val="04A0" w:firstRow="1" w:lastRow="0" w:firstColumn="1" w:lastColumn="0" w:noHBand="0" w:noVBand="1"/>
      </w:tblPr>
      <w:tblGrid>
        <w:gridCol w:w="1191"/>
        <w:gridCol w:w="36"/>
        <w:gridCol w:w="1473"/>
      </w:tblGrid>
      <w:tr w:rsidR="004D7472" w:rsidRPr="004D7472" w14:paraId="039182F1" w14:textId="77777777" w:rsidTr="004D7472">
        <w:tc>
          <w:tcPr>
            <w:tcW w:w="0" w:type="auto"/>
            <w:tcBorders>
              <w:top w:val="single" w:sz="4" w:space="0" w:color="191616"/>
              <w:left w:val="single" w:sz="4" w:space="0" w:color="191616"/>
              <w:bottom w:val="single" w:sz="4" w:space="0" w:color="191616"/>
              <w:right w:val="single" w:sz="4" w:space="0" w:color="191616"/>
            </w:tcBorders>
            <w:shd w:val="clear" w:color="auto" w:fill="FFFFFF"/>
            <w:vAlign w:val="center"/>
            <w:hideMark/>
          </w:tcPr>
          <w:p w14:paraId="26D2D6FC" w14:textId="77777777" w:rsidR="004D7472" w:rsidRPr="004D7472" w:rsidRDefault="004D7472" w:rsidP="004D7472">
            <w:pPr>
              <w:spacing w:before="100" w:beforeAutospacing="1" w:after="100" w:afterAutospacing="1"/>
              <w:divId w:val="1779175991"/>
              <w:rPr>
                <w:rFonts w:ascii="Times New Roman" w:eastAsia="Times New Roman" w:hAnsi="Times New Roman" w:cs="Times New Roman"/>
              </w:rPr>
            </w:pPr>
            <w:r w:rsidRPr="004D7472">
              <w:rPr>
                <w:rFonts w:ascii="BaskervilleMT" w:eastAsia="Times New Roman" w:hAnsi="BaskervilleMT" w:cs="Times New Roman"/>
                <w:sz w:val="16"/>
                <w:szCs w:val="16"/>
              </w:rPr>
              <w:t xml:space="preserve">Community based </w:t>
            </w:r>
          </w:p>
        </w:tc>
        <w:tc>
          <w:tcPr>
            <w:tcW w:w="0" w:type="auto"/>
            <w:tcBorders>
              <w:top w:val="single" w:sz="4" w:space="0" w:color="161616"/>
              <w:left w:val="single" w:sz="4" w:space="0" w:color="191616"/>
              <w:bottom w:val="single" w:sz="4" w:space="0" w:color="161616"/>
              <w:right w:val="single" w:sz="4" w:space="0" w:color="191616"/>
            </w:tcBorders>
            <w:vAlign w:val="center"/>
            <w:hideMark/>
          </w:tcPr>
          <w:p w14:paraId="018E43DD" w14:textId="77777777" w:rsidR="004D7472" w:rsidRPr="004D7472" w:rsidRDefault="004D7472" w:rsidP="004D7472">
            <w:pPr>
              <w:rPr>
                <w:rFonts w:ascii="Times New Roman" w:eastAsia="Times New Roman" w:hAnsi="Times New Roman" w:cs="Times New Roman"/>
              </w:rPr>
            </w:pPr>
          </w:p>
        </w:tc>
        <w:tc>
          <w:tcPr>
            <w:tcW w:w="0" w:type="auto"/>
            <w:tcBorders>
              <w:top w:val="single" w:sz="4" w:space="0" w:color="191616"/>
              <w:left w:val="single" w:sz="4" w:space="0" w:color="191616"/>
              <w:bottom w:val="single" w:sz="4" w:space="0" w:color="191616"/>
              <w:right w:val="single" w:sz="4" w:space="0" w:color="191616"/>
            </w:tcBorders>
            <w:shd w:val="clear" w:color="auto" w:fill="FFFFFF"/>
            <w:vAlign w:val="center"/>
            <w:hideMark/>
          </w:tcPr>
          <w:p w14:paraId="49CE1F3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BaskervilleMT" w:eastAsia="Times New Roman" w:hAnsi="BaskervilleMT" w:cs="Times New Roman"/>
                <w:sz w:val="16"/>
                <w:szCs w:val="16"/>
              </w:rPr>
              <w:t xml:space="preserve">Neighborhood schools </w:t>
            </w:r>
          </w:p>
        </w:tc>
      </w:tr>
    </w:tbl>
    <w:p w14:paraId="00590855" w14:textId="1E17DE1F"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"/var/folders/l7/xsyc8qd571z0x_9_w06b59480000gn/T/com.microsoft.Word/WebArchiveCopyPasteTempFiles/page4image61559056"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0E283768" wp14:editId="42E9CADA">
            <wp:extent cx="561340" cy="344805"/>
            <wp:effectExtent l="0" t="0" r="0" b="0"/>
            <wp:docPr id="44" name="Picture 44" descr="page4image61559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ge4image615590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340" cy="344805"/>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"/var/folders/l7/xsyc8qd571z0x_9_w06b59480000gn/T/com.microsoft.Word/WebArchiveCopyPasteTempFiles/page4image61559280"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37E25843" wp14:editId="61F7EE3D">
            <wp:extent cx="649605" cy="344805"/>
            <wp:effectExtent l="0" t="0" r="0" b="0"/>
            <wp:docPr id="43" name="Picture 43" descr="page4image6155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ge4image6155928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9605" cy="344805"/>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"/var/folders/l7/xsyc8qd571z0x_9_w06b59480000gn/T/com.microsoft.Word/WebArchiveCopyPasteTempFiles/page4image61566000"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0160E71F" wp14:editId="0D4680FA">
            <wp:extent cx="762000" cy="344805"/>
            <wp:effectExtent l="0" t="0" r="0" b="0"/>
            <wp:docPr id="42" name="Picture 42" descr="page4image61566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ge4image6156600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2000" cy="344805"/>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"/var/folders/l7/xsyc8qd571z0x_9_w06b59480000gn/T/com.microsoft.Word/WebArchiveCopyPasteTempFiles/page4image61565104"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7D8F4F7F" wp14:editId="4D2986ED">
            <wp:extent cx="1106805" cy="344805"/>
            <wp:effectExtent l="0" t="0" r="0" b="0"/>
            <wp:docPr id="41" name="Picture 41" descr="page4image61565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ge4image6156510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06805" cy="344805"/>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72A161DE"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Chapter 76, Volume 4 </w:t>
      </w:r>
    </w:p>
    <w:p w14:paraId="34347C4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1235 </w:t>
      </w:r>
    </w:p>
    <w:p w14:paraId="5C91B1E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BaskervilleMT" w:eastAsia="Times New Roman" w:hAnsi="BaskervilleMT" w:cs="Times New Roman"/>
          <w:sz w:val="16"/>
          <w:szCs w:val="16"/>
        </w:rPr>
        <w:t xml:space="preserve">Educative approach </w:t>
      </w:r>
    </w:p>
    <w:p w14:paraId="5C629E2B"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BaskervilleMT" w:eastAsia="Times New Roman" w:hAnsi="BaskervilleMT" w:cs="Times New Roman"/>
          <w:sz w:val="16"/>
          <w:szCs w:val="16"/>
        </w:rPr>
        <w:t xml:space="preserve">Activity based </w:t>
      </w:r>
    </w:p>
    <w:p w14:paraId="4E5ABAC0"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BaskervilleMT" w:eastAsia="Times New Roman" w:hAnsi="BaskervilleMT" w:cs="Times New Roman"/>
          <w:sz w:val="16"/>
          <w:szCs w:val="16"/>
        </w:rPr>
        <w:t xml:space="preserve">Partial participation </w:t>
      </w:r>
    </w:p>
    <w:p w14:paraId="09BB3D82"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BaskervilleMT" w:eastAsia="Times New Roman" w:hAnsi="BaskervilleMT" w:cs="Times New Roman"/>
          <w:sz w:val="16"/>
          <w:szCs w:val="16"/>
        </w:rPr>
        <w:t xml:space="preserve">Form versus function critical effect </w:t>
      </w:r>
    </w:p>
    <w:p w14:paraId="6F334AF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BaskervilleMT" w:eastAsia="Times New Roman" w:hAnsi="BaskervilleMT" w:cs="Times New Roman"/>
          <w:sz w:val="16"/>
          <w:szCs w:val="16"/>
        </w:rPr>
        <w:t xml:space="preserve">Age appropriate </w:t>
      </w:r>
    </w:p>
    <w:p w14:paraId="1DCFBC0D" w14:textId="1B09730F"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"/var/folders/l7/xsyc8qd571z0x_9_w06b59480000gn/T/com.microsoft.Word/WebArchiveCopyPasteTempFiles/page4image61568576"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7DE9C707" wp14:editId="054AA0DA">
            <wp:extent cx="713740" cy="441325"/>
            <wp:effectExtent l="0" t="0" r="0" b="3175"/>
            <wp:docPr id="40" name="Picture 40" descr="page4image61568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ge4image6156857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3740" cy="441325"/>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"/var/folders/l7/xsyc8qd571z0x_9_w06b59480000gn/T/com.microsoft.Word/WebArchiveCopyPasteTempFiles/page4image61568688"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0C8541B8" wp14:editId="48D46148">
            <wp:extent cx="625475" cy="441325"/>
            <wp:effectExtent l="0" t="0" r="0" b="3175"/>
            <wp:docPr id="39" name="Picture 39" descr="page4image61568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ge4image6156868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5475" cy="441325"/>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"/var/folders/l7/xsyc8qd571z0x_9_w06b59480000gn/T/com.microsoft.Word/WebArchiveCopyPasteTempFiles/page4image61569472"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6F36F227" wp14:editId="59BE824B">
            <wp:extent cx="737870" cy="441325"/>
            <wp:effectExtent l="0" t="0" r="0" b="3175"/>
            <wp:docPr id="38" name="Picture 38" descr="page4image61569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ge4image6156947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7870" cy="441325"/>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"/var/folders/l7/xsyc8qd571z0x_9_w06b59480000gn/T/com.microsoft.Word/WebArchiveCopyPasteTempFiles/page4image61569360"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29F4B8DB" wp14:editId="67F49A83">
            <wp:extent cx="497205" cy="441325"/>
            <wp:effectExtent l="0" t="0" r="0" b="3175"/>
            <wp:docPr id="37" name="Picture 37" descr="page4image61569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ge4image6156936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7205" cy="441325"/>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456DFBCA"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BaskervilleMT" w:eastAsia="Times New Roman" w:hAnsi="BaskervilleMT" w:cs="Times New Roman"/>
          <w:sz w:val="16"/>
          <w:szCs w:val="16"/>
        </w:rPr>
        <w:lastRenderedPageBreak/>
        <w:t xml:space="preserve">Problem identification and analysis </w:t>
      </w:r>
    </w:p>
    <w:p w14:paraId="27614FA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BaskervilleMT" w:eastAsia="Times New Roman" w:hAnsi="BaskervilleMT" w:cs="Times New Roman"/>
          <w:sz w:val="16"/>
          <w:szCs w:val="16"/>
        </w:rPr>
        <w:t xml:space="preserve">Exploring solutions </w:t>
      </w:r>
    </w:p>
    <w:p w14:paraId="5B394FEC"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BaskervilleMT" w:eastAsia="Times New Roman" w:hAnsi="BaskervilleMT" w:cs="Times New Roman"/>
          <w:sz w:val="16"/>
          <w:szCs w:val="16"/>
        </w:rPr>
        <w:t xml:space="preserve">Applying and evaluating solutions </w:t>
      </w:r>
    </w:p>
    <w:p w14:paraId="40BBE88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BaskervilleMT" w:eastAsia="Times New Roman" w:hAnsi="BaskervilleMT" w:cs="Times New Roman"/>
          <w:sz w:val="16"/>
          <w:szCs w:val="16"/>
        </w:rPr>
        <w:t xml:space="preserve">Problem solution </w:t>
      </w:r>
    </w:p>
    <w:p w14:paraId="03D53E92" w14:textId="26AA2688"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"/var/folders/l7/xsyc8qd571z0x_9_w06b59480000gn/T/com.microsoft.Word/WebArchiveCopyPasteTempFiles/page4image61645456"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2C64789C" wp14:editId="60548CCB">
            <wp:extent cx="1170940" cy="384810"/>
            <wp:effectExtent l="0" t="0" r="0" b="0"/>
            <wp:docPr id="36" name="Picture 36" descr="page4image61645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age4image6164545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70940" cy="38481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26CE163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BaskervilleMT" w:eastAsia="Times New Roman" w:hAnsi="BaskervilleMT" w:cs="Times New Roman"/>
          <w:sz w:val="16"/>
          <w:szCs w:val="16"/>
        </w:rPr>
        <w:t xml:space="preserve">Assessment/curricula development </w:t>
      </w:r>
    </w:p>
    <w:p w14:paraId="4B3832F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are appropriate for persons with disabilities (Browder, 1991; Wolfensberger, 1972). For example, the goals of developing a vocation, forming a family, and owning or renting a home, as well as opportunities to engage in a wide variety of leisure and recreational activities are considered equally suitable for individuals with and without disabilities. In applying this premise to edu- cational service delivery for students with severe disabilities, the intent is to prevent undue restriction of opportunities to participate within any given realm on the basis of handicapping conditions. Thus, students with severe and low-incidence disabilities should par- ticipate in universal level (Tier 1) services (i.e., core instruction) for at least some skill domains while additional supports and targeted (Tier 2) or intensive (Tier 3) interventions likely will be needed for other domains. </w:t>
      </w:r>
    </w:p>
    <w:p w14:paraId="46093EB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Application of the normalization principle results in actions that serve to prepare students for maximum participation in integrated school and community environments (i.e., those involving individuals with and without disabilities). Normalization also carries with it the challenges of high expectations, an emphasis on socially valued goals and activities, and participation in school- and community-based activities rather than </w:t>
      </w:r>
    </w:p>
    <w:p w14:paraId="6BB9049E" w14:textId="07F89AE6"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"/var/folders/l7/xsyc8qd571z0x_9_w06b59480000gn/T/com.microsoft.Word/WebArchiveCopyPasteTempFiles/page4image38790528"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2573C45A" wp14:editId="275521A6">
            <wp:extent cx="5943600" cy="15240"/>
            <wp:effectExtent l="0" t="0" r="0" b="0"/>
            <wp:docPr id="35" name="Picture 35" descr="page4image38790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ge4image387905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33F31C6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BaskervilleMT" w:eastAsia="Times New Roman" w:hAnsi="BaskervilleMT" w:cs="Times New Roman"/>
          <w:sz w:val="16"/>
          <w:szCs w:val="16"/>
        </w:rPr>
        <w:t xml:space="preserve">Functional life skills </w:t>
      </w:r>
    </w:p>
    <w:p w14:paraId="10968BB2" w14:textId="255F0511"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"/var/folders/l7/xsyc8qd571z0x_9_w06b59480000gn/T/com.microsoft.Word/WebArchiveCopyPasteTempFiles/page5image38693568"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654075B4" wp14:editId="3C79BD46">
            <wp:extent cx="5943600" cy="15240"/>
            <wp:effectExtent l="0" t="0" r="0" b="0"/>
            <wp:docPr id="34" name="Picture 34" descr="page5image38693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age5image3869356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7A79D612"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B" w:eastAsia="Times New Roman" w:hAnsi="AdvP6A4B" w:cs="Times New Roman"/>
          <w:sz w:val="18"/>
          <w:szCs w:val="18"/>
        </w:rPr>
        <w:t xml:space="preserve">Best Practices in School Psychology V </w:t>
      </w:r>
    </w:p>
    <w:p w14:paraId="2F16696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isolation from them. For professionals, the ideal of normalization provides a benchmark against which to identify, analyze, and eliminate stereotypical perceptions of students with severe disabilities. Also, expectations and actions consistent with the normalization principle can lead to enhanced dignity for students with severe disabilities. </w:t>
      </w:r>
    </w:p>
    <w:p w14:paraId="09D64773"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0F" w:eastAsia="Times New Roman" w:hAnsi="AdvP4980F" w:cs="Times New Roman"/>
          <w:sz w:val="22"/>
          <w:szCs w:val="22"/>
        </w:rPr>
        <w:t xml:space="preserve">Education in the LRE </w:t>
      </w:r>
    </w:p>
    <w:p w14:paraId="7C7FAEA3"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The mandate of the LRE established as law that children with disabilities should be educated with children without disabilities to the maximum extent possible, and placement in special classes or separate schooling shall occur only when the nature or severity of the disability is such that education in regular education classes with the use of supplementary supports and services cannot be achieved satisfactorily. The import- ance of this foundation for students with low incidence and severe disabilities is paramount given the history of segregation and institutionalization of these students. The LRE principle seeks to maximize the educational and social opportunities available to children with disabilities. Educational practices consistent with the LRE actively avoid education in segregated settings, which can adversely affect opportunities to learn from and to associate with typical peers. </w:t>
      </w:r>
    </w:p>
    <w:p w14:paraId="495B9555"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lastRenderedPageBreak/>
        <w:t xml:space="preserve">IDEA implies that the LRE should be determined empirically. Thus, to contribute to LRE determinations, assessments cannot be solely child focused but must include evaluation of the environment. School psychologists can contribute meaningful information to determinations of LRE by assessing teacher and student behaviors and interactions in current educational environments and potential alternative ones (i.e., those environments being considered as appropriate least restrictive placements). A data-based approach to LRE decisions leads to direct evaluation of instructional environments by school psychologists through the use of ecological inventories, behavioral assessment proce- dures, and functional analyses. Resultant data from these activities can facilitate better decisions about potential LREs and is consistent with the three-tiered model. </w:t>
      </w:r>
    </w:p>
    <w:p w14:paraId="597CA9EE"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0F" w:eastAsia="Times New Roman" w:hAnsi="AdvP4980F" w:cs="Times New Roman"/>
          <w:sz w:val="22"/>
          <w:szCs w:val="22"/>
        </w:rPr>
        <w:t xml:space="preserve">Positive Behavioral Support </w:t>
      </w:r>
    </w:p>
    <w:p w14:paraId="1E8FF750"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The final foundation of the model, and particularly important to the education of students with severe disabilities, is positive behavioral support (PBS; Carr et al., 1999). PBS is the process of systematically identifying </w:t>
      </w:r>
    </w:p>
    <w:p w14:paraId="140F887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problem behaviors and their antecedents, developing an understanding of the function of the behavior, devel- oping hypotheses, and teaching new skills to achieve socially important behavior change (Sugai et al., 2000). This is not a new approach but rather builds upon the foundation of applied behavior analysis. PBS was developed as an effort to assist individuals with disabilities and serious behavior problems by incorp- orating methods designed not only to reduce problem behavior(s) but also to develop subsequent prosocial skills through nonaversive procedures. </w:t>
      </w:r>
    </w:p>
    <w:p w14:paraId="32F2ECE3"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Essential to the values of PBS is its concentrated focus on enhancing the quality of life of an individual, family, and/or significant other (Haring &amp; DeVault, 1996; Sugai et al., 2000). Such a respect for personal dignity is not only a hallmark of PBS, but also is used as a stepping stone for future assessments and subsequent interven- tions (Koegel et al., 1996). Under PBS, functional assessment strategies allow a practitioner to gain specific knowledge of those events that occasion or maintain problem behavior(s). Such information is used to describe and predict an individual’s behavior prior to developing multiple support strategies (Horner, 2000). Primarily, support strategies under the components of PBS will focus on preventing problem behaviors from occurring as well as teaching replacement behaviors (e.g., teaching a student to request help instead of turning over desks when frustrated). The educative approach of PBS encourages positive interactions of the individual within a community rather than on simply decreasing or eliminating problem behaviors. </w:t>
      </w:r>
    </w:p>
    <w:p w14:paraId="2C76880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Owing to such melding of components, PBS is a practical model for advancing the development of individuals with severe disabilities for several reasons. First, its aim is to improve the way an individual lives, socializes, and responds in community activities in a respectful and humanistic way. Second, it emphasizes designing positive and effective interventions based on a comprehensive assessment (i.e., functional assessment/ analysis) of the variables affecting an individual’s behavior. Third, it incorporates an educative approach (e.g., teaching communication skills; self-management). Fourth, it is person centered, focusing on skills that are not only functional for the student but are also important to the student and caregivers with respect to future life-skills functioning. The combination of these factors emphasizes the goal of PBS, which is to help an individual gain access to new environments and opportunities to learn, develop positive social interac- tions, develop friendships, and learn new skills to function effectively within the community. </w:t>
      </w:r>
    </w:p>
    <w:p w14:paraId="5A4D1390"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1236 </w:t>
      </w:r>
    </w:p>
    <w:p w14:paraId="59F45CCB"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Chapter 76, Volume 4 </w:t>
      </w:r>
    </w:p>
    <w:p w14:paraId="0E98BDA7" w14:textId="22DDCA20"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"/var/folders/l7/xsyc8qd571z0x_9_w06b59480000gn/T/com.microsoft.Word/WebArchiveCopyPasteTempFiles/page5image38678144"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74F05F64" wp14:editId="185C2AAC">
            <wp:extent cx="5943600" cy="15240"/>
            <wp:effectExtent l="0" t="0" r="0" b="0"/>
            <wp:docPr id="33" name="Picture 33" descr="page5image38678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ge5image38678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14B06458" w14:textId="07D1DDE5"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"/var/folders/l7/xsyc8qd571z0x_9_w06b59480000gn/T/com.microsoft.Word/WebArchiveCopyPasteTempFiles/page6image38694336"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448879D6" wp14:editId="0F674515">
            <wp:extent cx="5943600" cy="15240"/>
            <wp:effectExtent l="0" t="0" r="0" b="0"/>
            <wp:docPr id="32" name="Picture 32" descr="page6image38694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age6image386943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4E06520B"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50" w:eastAsia="Times New Roman" w:hAnsi="AdvP6A50" w:cs="Times New Roman"/>
        </w:rPr>
        <w:t xml:space="preserve">BEST PRACTICES </w:t>
      </w:r>
    </w:p>
    <w:p w14:paraId="6386542C"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lastRenderedPageBreak/>
        <w:t xml:space="preserve">Translating the foundations of LRE, normalization, and PBS into best practices requires more specific directions that can serve as guidelines for service delivery. Numerous educational strategies used with students with severe and low-incidence disabilities have evolved since the 1970s. Such strategies have provided guidance with respect to the goals of instruction as well as what, how, and where to teach. Ten such strategies are presented here along with illustrative examples. This list should not be considered exhaustive but rather a solid set of guidelines that should advance best practices in this area. The first two strategies are broad and overarching while the latter eight are focused more narrowly. Relationships between the strategies are such that utilization of the latter eight will result in the implementation of the first two. </w:t>
      </w:r>
    </w:p>
    <w:p w14:paraId="33581691"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0" w:eastAsia="Times New Roman" w:hAnsi="AdvP49810" w:cs="Times New Roman"/>
          <w:sz w:val="22"/>
          <w:szCs w:val="22"/>
        </w:rPr>
        <w:t xml:space="preserve">Strategy 1: Utilize the criterion of ultimate functioning. </w:t>
      </w:r>
      <w:r w:rsidRPr="004D7472">
        <w:rPr>
          <w:rFonts w:ascii="AdvP49811" w:eastAsia="Times New Roman" w:hAnsi="AdvP49811" w:cs="Times New Roman"/>
          <w:sz w:val="20"/>
          <w:szCs w:val="20"/>
        </w:rPr>
        <w:t xml:space="preserve">The criterion of ultimate functioning reflects the goal of having students with severe and low- incidence disabilities eventually functioning as produc- tively and independently as possible in integrated adult environments (Brown, Nietupski, &amp; Hamre-Nietupski, 1976). Mindful of this ultimate goal, educational programming for students with severe and low-incid- ence disabilities incorporates instruction and program- ming around meaningful activities considered typical of peers without disabilities within current environments and adults without disabilities for future environments (Giangreco &amp; Meyer, 1988). </w:t>
      </w:r>
    </w:p>
    <w:p w14:paraId="556698C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0" w:eastAsia="Times New Roman" w:hAnsi="AdvP49810" w:cs="Times New Roman"/>
          <w:sz w:val="22"/>
          <w:szCs w:val="22"/>
        </w:rPr>
        <w:t xml:space="preserve">Strategy 2: Incorporate the criterion of the least dangerous assumption. </w:t>
      </w:r>
      <w:r w:rsidRPr="004D7472">
        <w:rPr>
          <w:rFonts w:ascii="AdvP49811" w:eastAsia="Times New Roman" w:hAnsi="AdvP49811" w:cs="Times New Roman"/>
          <w:sz w:val="20"/>
          <w:szCs w:val="20"/>
        </w:rPr>
        <w:t xml:space="preserve">This criterion spe- cifies that ‘‘in the absence of conclusive data, edu- cational decisions ought to be based on assumptions which, if incorrect, will have the least dangerous effect on the likelihood that students will be able to function independently as adults’’ (Donnellan, 1984, p. 141). In practice, this means that it is less dangerous to assume that direct instruction of life skills (e.g., using public transportation taught on inservice buses in the com- munity) will enhance community independence than it is to assume students will generalize instruction and learning from skills/activities taught outside their natural contexts to real life activities (e.g., teaching skills such as asking questions about the bus number and route, solely in the classroom; Browder &amp; Snell, 1988). In other words, one should teach what one wants the student to learn both in naturally occurring community </w:t>
      </w:r>
    </w:p>
    <w:p w14:paraId="5C0118C3"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(nonschool) environments and in school (Donnellan, 1984). Application of this criterion supports both the integration of students with severe disabilities with typical peers and the use of chronologically age- appropriate materials and activities (Donnellan, 1984). </w:t>
      </w:r>
    </w:p>
    <w:p w14:paraId="311FC955"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0" w:eastAsia="Times New Roman" w:hAnsi="AdvP49810" w:cs="Times New Roman"/>
          <w:sz w:val="22"/>
          <w:szCs w:val="22"/>
        </w:rPr>
        <w:t xml:space="preserve">Strategy 3: Take a functional life skills approach to education. </w:t>
      </w:r>
      <w:r w:rsidRPr="004D7472">
        <w:rPr>
          <w:rFonts w:ascii="AdvP49811" w:eastAsia="Times New Roman" w:hAnsi="AdvP49811" w:cs="Times New Roman"/>
          <w:sz w:val="20"/>
          <w:szCs w:val="20"/>
        </w:rPr>
        <w:t xml:space="preserve">Functional life skills are those skills needed to realize a productive daily life. For example, routines and skills such as street crossing, banking and other money management skills, grocery shopping, grooming and other self-care skills, and communication and social skills are all functional life skills. Another condition that further defines functionality requires engaging in the activities of concern in natural contexts (Browder &amp; Snell, 1988; Giangreco &amp; Meyer, 1988). </w:t>
      </w:r>
    </w:p>
    <w:p w14:paraId="2B7B893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A functional life skills approach to education (a top- down approach) can be contrasted with a developmental approach (a bottom-up approach). Activities within a functionally oriented curriculum typically differ from those in a developmental curriculum. An example of this dichotomy is teaching the act of grasping as a fine motor activity (developmental approach) versus teaching a student to use a fork and spoon at mealtimes (functional approach). Here the functional activity incorporates opportunities to develop fine motor skills, yet the fine motor task is embedded within a functional activity rather than being taught in isolation. </w:t>
      </w:r>
    </w:p>
    <w:p w14:paraId="3D4BB37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The rationale behind a functional approach arises from a concern that a developmental approach may influence student learning adversely. That is, typically a developmental approach focuses on identifying and teaching skills immediately beyond the student’s current level of performance (i.e., in a sequential manner) and the sequence of behaviors to be taught is derived normatively (Brinker, 1985). Applying this model to students with severe and low-incidence disabilities assumes that, as compared to typical children, the rate of development for these students is slower but the pattern of development and stages are essentially the same (Brinker, 1985). In reality, however, the actual sequence of skills learned and the relationships among them may differ between typical students and those with severe and low-incidence disabilities (Brown, 1987). The danger here, referred to as a readiness trap, is that students may become caught in a curriculum of readiness </w:t>
      </w:r>
      <w:r w:rsidRPr="004D7472">
        <w:rPr>
          <w:rFonts w:ascii="AdvP49811" w:eastAsia="Times New Roman" w:hAnsi="AdvP49811" w:cs="Times New Roman"/>
          <w:sz w:val="20"/>
          <w:szCs w:val="20"/>
        </w:rPr>
        <w:lastRenderedPageBreak/>
        <w:t xml:space="preserve">skills out of which they may never emerge. The problem occurs when a student fails to master the prerequisite developmental skills deemed necessary to become ready to learn functional life skills, thus precluding integration into both more advanced curric- </w:t>
      </w:r>
    </w:p>
    <w:p w14:paraId="1C307D5A"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Chapter 76, Volume 4 </w:t>
      </w:r>
    </w:p>
    <w:p w14:paraId="0B45A41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1237 </w:t>
      </w:r>
    </w:p>
    <w:p w14:paraId="09B5ABC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B" w:eastAsia="Times New Roman" w:hAnsi="AdvP6A4B" w:cs="Times New Roman"/>
          <w:sz w:val="18"/>
          <w:szCs w:val="18"/>
        </w:rPr>
        <w:t xml:space="preserve">Supporting the Education </w:t>
      </w:r>
    </w:p>
    <w:p w14:paraId="198BB076" w14:textId="59C3FE0E"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"/var/folders/l7/xsyc8qd571z0x_9_w06b59480000gn/T/com.microsoft.Word/WebArchiveCopyPasteTempFiles/page6image38694720"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42B6DFFB" wp14:editId="33B8F60C">
            <wp:extent cx="5943600" cy="15240"/>
            <wp:effectExtent l="0" t="0" r="0" b="0"/>
            <wp:docPr id="31" name="Picture 31" descr="page6image38694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6image386947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1EFD5711" w14:textId="05F65BDF"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"/var/folders/l7/xsyc8qd571z0x_9_w06b59480000gn/T/com.microsoft.Word/WebArchiveCopyPasteTempFiles/page7image38546304"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7CBB86D5" wp14:editId="16DBB689">
            <wp:extent cx="5943600" cy="15240"/>
            <wp:effectExtent l="0" t="0" r="0" b="0"/>
            <wp:docPr id="30" name="Picture 30" descr="page7image38546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7image3854630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7801E37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B" w:eastAsia="Times New Roman" w:hAnsi="AdvP6A4B" w:cs="Times New Roman"/>
          <w:sz w:val="18"/>
          <w:szCs w:val="18"/>
        </w:rPr>
        <w:t xml:space="preserve">Best Practices in School Psychology V </w:t>
      </w:r>
    </w:p>
    <w:p w14:paraId="7B813B13"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ula, and more independent community participation, thereby limiting normalization. </w:t>
      </w:r>
    </w:p>
    <w:p w14:paraId="27C45418"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A final point of importance is that a life skills approach to the education of students with severe disabilities requires that assessment procedures and instructional activities be organized such that their results are relevant within natural community environ- ments. Guided by the functional life skills strategy, assessment procedures and instructional activities can positively affect normalization (Browder &amp; Snell, 1988). By increasing functional life skills, opportunities for social acceptance and enhanced personal dignity within the student’s community are increased. Thus, this strategy is consistent with the foundation of positive behavior support. </w:t>
      </w:r>
    </w:p>
    <w:p w14:paraId="31DAF0D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0" w:eastAsia="Times New Roman" w:hAnsi="AdvP49810" w:cs="Times New Roman"/>
          <w:sz w:val="22"/>
          <w:szCs w:val="22"/>
        </w:rPr>
        <w:t xml:space="preserve">Strategy 4: Take an activity-based approach to designing assessment and instruction. </w:t>
      </w:r>
      <w:r w:rsidRPr="004D7472">
        <w:rPr>
          <w:rFonts w:ascii="AdvP49811" w:eastAsia="Times New Roman" w:hAnsi="AdvP49811" w:cs="Times New Roman"/>
          <w:sz w:val="20"/>
          <w:szCs w:val="20"/>
        </w:rPr>
        <w:t xml:space="preserve">An activity-based approach to education is founded on the following assumptions: (a) the goal of instruction is to prepare people for experiences in natural integrated environments, (b) instruction should be as effective and efficient as possible, (c) instructional resources are finite, and (d) instructional interventions must reflect accepted values and respect individual dignity (Albin, McDonnell, &amp; Wilcox, 1987). This approach is characterized by assessment procedures and curricula that utilize activ- ities rather than isolated skills as the action of concern, and thus the focus for assessment and instruction (Wilcox &amp; Bellamy, 1987). Activities are defined as chains of behavior that produce a functional outcome. The primary features of activity-based instruction and assessment delineated by Wilcox and Bellamy (1987) are that instructional and assessment procedures focus on activities that result in a natural outcome and that consist of natural sequences of behavior (i.e., one can picture oneself doing the activity or routine under normal circumstances). For example, consider ordering a meal at a restaurant. The chain or sequence of behaviors required result in the functional outcome of obtaining food to eat and ultimately satisfying hunger. </w:t>
      </w:r>
    </w:p>
    <w:p w14:paraId="37572773"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Activity-based education is believed to yield three advantages for the student. First, the focus is on actions that can have an immediate impact on the student’s quality of life. Second, a student’s curriculum and instruction can be community referenced by choosing activities that are appropriate and functional within the local neighborhood school and the community in which a student lives. Third, instruction focuses on teaching the learner to integrate component skills into natural, functional sequences of behavior. </w:t>
      </w:r>
    </w:p>
    <w:p w14:paraId="2591467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0" w:eastAsia="Times New Roman" w:hAnsi="AdvP49810" w:cs="Times New Roman"/>
          <w:sz w:val="22"/>
          <w:szCs w:val="22"/>
        </w:rPr>
        <w:t xml:space="preserve">Strategy 5: Take a community-based app- roach to assessment and instruction. </w:t>
      </w:r>
      <w:r w:rsidRPr="004D7472">
        <w:rPr>
          <w:rFonts w:ascii="AdvP49811" w:eastAsia="Times New Roman" w:hAnsi="AdvP49811" w:cs="Times New Roman"/>
          <w:sz w:val="20"/>
          <w:szCs w:val="20"/>
        </w:rPr>
        <w:t xml:space="preserve">‘‘The goal of education is to help children become competent and caring adults, involved citizens, and productive mem- bers of their communities’’ (Ysseldyke et al., 2006, p. 12). With this goal in mind, this strategy ensures that activities and skills are assessed and taught in natural environments to the greatest extent possible to maximize generalization and maintenance of learned skills and knowledge. That is, to facilitate students with severe and low-incidence disabilities learning the skills necessary to function in their communities, instruction should occur in those community environments (Falvey, 1986). Therefore, individually referenced community environ- ments influence curriculum content and development (Browder &amp; Snell, 1988), wherein </w:t>
      </w:r>
      <w:r w:rsidRPr="004D7472">
        <w:rPr>
          <w:rFonts w:ascii="AdvP49811" w:eastAsia="Times New Roman" w:hAnsi="AdvP49811" w:cs="Times New Roman"/>
          <w:sz w:val="20"/>
          <w:szCs w:val="20"/>
        </w:rPr>
        <w:lastRenderedPageBreak/>
        <w:t xml:space="preserve">curricula are designed to incorporate activities in which persons </w:t>
      </w:r>
      <w:r w:rsidRPr="004D7472">
        <w:rPr>
          <w:rFonts w:ascii="AdvP49812" w:eastAsia="Times New Roman" w:hAnsi="AdvP49812" w:cs="Times New Roman"/>
          <w:sz w:val="20"/>
          <w:szCs w:val="20"/>
        </w:rPr>
        <w:t xml:space="preserve">without </w:t>
      </w:r>
      <w:r w:rsidRPr="004D7472">
        <w:rPr>
          <w:rFonts w:ascii="AdvP49811" w:eastAsia="Times New Roman" w:hAnsi="AdvP49811" w:cs="Times New Roman"/>
          <w:sz w:val="20"/>
          <w:szCs w:val="20"/>
        </w:rPr>
        <w:t xml:space="preserve">disabilities engage within that particular community. Importantly, families are considered a significant resource for obtaining information with respect to their child’s interests across both home and community environments (Powell-Smith &amp; Vaughn, 2006). An advantage of a community-based approach is that it is consistent with the criterion of the least dangerous assumption. An example illustrating these five initial strategies is presented in Table 1. </w:t>
      </w:r>
    </w:p>
    <w:p w14:paraId="5148F4FB"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0" w:eastAsia="Times New Roman" w:hAnsi="AdvP49810" w:cs="Times New Roman"/>
          <w:sz w:val="22"/>
          <w:szCs w:val="22"/>
        </w:rPr>
        <w:t xml:space="preserve">Strategy 6: Strive for instruction in neigh- borhood schools. </w:t>
      </w:r>
      <w:r w:rsidRPr="004D7472">
        <w:rPr>
          <w:rFonts w:ascii="AdvP49811" w:eastAsia="Times New Roman" w:hAnsi="AdvP49811" w:cs="Times New Roman"/>
          <w:sz w:val="20"/>
          <w:szCs w:val="20"/>
        </w:rPr>
        <w:t xml:space="preserve">This strategy focuses on the issue of where public school education should occur and promotes the value that students with severe and low-incidence disabilities should attend school in the same regular education buildings as peers without disabilities (Giangreco &amp; Meyer, 1988; Knight, 1999; Nisbet et al., 1994). Education in neighborhood schools can contribute to normalization and to the development of peer relation- ships and community support networks, thereby enhan- cing student integration into the community as a whole. These potential benefits make education in neighborhood schools an ideal to strive for and are consistent with providing an appropriate education in the LRE. </w:t>
      </w:r>
    </w:p>
    <w:p w14:paraId="76EB326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0" w:eastAsia="Times New Roman" w:hAnsi="AdvP49810" w:cs="Times New Roman"/>
          <w:sz w:val="22"/>
          <w:szCs w:val="22"/>
        </w:rPr>
        <w:t xml:space="preserve">Strategy 7: Incorporate age-appropriate materials and activities. </w:t>
      </w:r>
      <w:r w:rsidRPr="004D7472">
        <w:rPr>
          <w:rFonts w:ascii="AdvP49811" w:eastAsia="Times New Roman" w:hAnsi="AdvP49811" w:cs="Times New Roman"/>
          <w:sz w:val="20"/>
          <w:szCs w:val="20"/>
        </w:rPr>
        <w:t xml:space="preserve">This strategy requires one to choose as relevant to instruction those environ- ments (e.g., classes with same-age peers), activities, skills, materials, and interactions that are appropriate for the student’s </w:t>
      </w:r>
      <w:r w:rsidRPr="004D7472">
        <w:rPr>
          <w:rFonts w:ascii="AdvP49812" w:eastAsia="Times New Roman" w:hAnsi="AdvP49812" w:cs="Times New Roman"/>
          <w:sz w:val="20"/>
          <w:szCs w:val="20"/>
        </w:rPr>
        <w:t xml:space="preserve">chronological </w:t>
      </w:r>
      <w:r w:rsidRPr="004D7472">
        <w:rPr>
          <w:rFonts w:ascii="AdvP49811" w:eastAsia="Times New Roman" w:hAnsi="AdvP49811" w:cs="Times New Roman"/>
          <w:sz w:val="20"/>
          <w:szCs w:val="20"/>
        </w:rPr>
        <w:t xml:space="preserve">age (Giangreco &amp; Meyer, 1988). The strategy is premised on a belief that age-appropriate activities are more likely to foster positive social interactions with same-age peers, facilitate normalization, </w:t>
      </w:r>
    </w:p>
    <w:p w14:paraId="37F95E81"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1238 </w:t>
      </w:r>
    </w:p>
    <w:p w14:paraId="74AB409E"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Chapter 76, Volume 4 </w:t>
      </w:r>
    </w:p>
    <w:p w14:paraId="68DAF1B8" w14:textId="56D76FE3"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"/var/folders/l7/xsyc8qd571z0x_9_w06b59480000gn/T/com.microsoft.Word/WebArchiveCopyPasteTempFiles/page7image38584064"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413093BD" wp14:editId="3C424ED7">
            <wp:extent cx="5943600" cy="15240"/>
            <wp:effectExtent l="0" t="0" r="0" b="0"/>
            <wp:docPr id="29" name="Picture 29" descr="page7image38584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7image3858406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327817A8" w14:textId="2118CD8A"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"/var/folders/l7/xsyc8qd571z0x_9_w06b59480000gn/T/com.microsoft.Word/WebArchiveCopyPasteTempFiles/page8image38360128"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7FA084F6" wp14:editId="16965A74">
            <wp:extent cx="5943600" cy="15240"/>
            <wp:effectExtent l="0" t="0" r="0" b="0"/>
            <wp:docPr id="28" name="Picture 28" descr="page8image3836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8image383601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44304C84"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50" w:eastAsia="Times New Roman" w:hAnsi="AdvP6A50" w:cs="Times New Roman"/>
          <w:sz w:val="20"/>
          <w:szCs w:val="20"/>
        </w:rPr>
        <w:t xml:space="preserve">Table 1. </w:t>
      </w:r>
      <w:r w:rsidRPr="004D7472">
        <w:rPr>
          <w:rFonts w:ascii="AdvP4980F" w:eastAsia="Times New Roman" w:hAnsi="AdvP4980F" w:cs="Times New Roman"/>
          <w:sz w:val="20"/>
          <w:szCs w:val="20"/>
        </w:rPr>
        <w:t xml:space="preserve">An Example of an Instructional Activity That Demonstrates Each of the First Five Strategies </w:t>
      </w:r>
      <w:r w:rsidRPr="004D7472">
        <w:rPr>
          <w:rFonts w:ascii="AdvP49811" w:eastAsia="Times New Roman" w:hAnsi="AdvP49811" w:cs="Times New Roman"/>
          <w:sz w:val="18"/>
          <w:szCs w:val="18"/>
        </w:rPr>
        <w:t xml:space="preserve">Grocery Shopping Activity </w:t>
      </w:r>
    </w:p>
    <w:p w14:paraId="0BF43E8C"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2" w:eastAsia="Times New Roman" w:hAnsi="AdvP49812" w:cs="Times New Roman"/>
          <w:sz w:val="18"/>
          <w:szCs w:val="18"/>
        </w:rPr>
        <w:t>Description</w:t>
      </w:r>
      <w:r w:rsidRPr="004D7472">
        <w:rPr>
          <w:rFonts w:ascii="AdvP49811" w:eastAsia="Times New Roman" w:hAnsi="AdvP49811" w:cs="Times New Roman"/>
          <w:sz w:val="18"/>
          <w:szCs w:val="18"/>
        </w:rPr>
        <w:t xml:space="preserve">: Instruction of a grocery shopping routine and money skills within a local community grocery store. </w:t>
      </w:r>
    </w:p>
    <w:p w14:paraId="34102520"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Strategy </w:t>
      </w:r>
    </w:p>
    <w:p w14:paraId="6A6D132A"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Utilize the criterion of ultimate functioning </w:t>
      </w:r>
    </w:p>
    <w:p w14:paraId="75852A9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Incorporate the criterion of the least dangerous assumption </w:t>
      </w:r>
    </w:p>
    <w:p w14:paraId="10BFD81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Take a functional life skills approach to education </w:t>
      </w:r>
    </w:p>
    <w:p w14:paraId="2AD2DB14"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Take an activity-based approach to designing assessment and instruction </w:t>
      </w:r>
    </w:p>
    <w:p w14:paraId="762B627B"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Take a community-based approach to assessment and instruction </w:t>
      </w:r>
    </w:p>
    <w:p w14:paraId="796E0F2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Description </w:t>
      </w:r>
    </w:p>
    <w:p w14:paraId="0E49335A"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Instruction focuses on increased productive and independent functioning; promotes normalization </w:t>
      </w:r>
    </w:p>
    <w:p w14:paraId="2943BCDE"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Direct instruction of skill in context, which promotes generalization; enhanced independence and normalization </w:t>
      </w:r>
    </w:p>
    <w:p w14:paraId="26B15AD4"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Functional skill of obtaining food, an important life skill; promotes normalization </w:t>
      </w:r>
    </w:p>
    <w:p w14:paraId="7CF64A1C"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lastRenderedPageBreak/>
        <w:t xml:space="preserve">Skills taught in meaningful context with natural outcomes; more efficient and effective; promotes normalization </w:t>
      </w:r>
    </w:p>
    <w:p w14:paraId="0F85FED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Instruction occurs in a less restrictive environment; promotes normalization </w:t>
      </w:r>
    </w:p>
    <w:p w14:paraId="228F7DAA"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Alternative </w:t>
      </w:r>
    </w:p>
    <w:p w14:paraId="75D4B5A0"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Instruction maintains unnecessary dependencies, which will differ for each individual student </w:t>
      </w:r>
    </w:p>
    <w:p w14:paraId="7C48B74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Instructional task involves identification of foods using pictures in analogue situations </w:t>
      </w:r>
    </w:p>
    <w:p w14:paraId="0CAC1E40"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Instruction focuses on several developmental skills in isolation with subsequent attempts to integrate for functional outcome </w:t>
      </w:r>
    </w:p>
    <w:p w14:paraId="42112FA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Skills taught in isolation (e.g., coin identification) </w:t>
      </w:r>
    </w:p>
    <w:p w14:paraId="285EE30E"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Instruction in an analogue situation (e.g., teaching money skills using a play store) </w:t>
      </w:r>
    </w:p>
    <w:p w14:paraId="5B395671"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B" w:eastAsia="Times New Roman" w:hAnsi="AdvP6A4B" w:cs="Times New Roman"/>
          <w:sz w:val="18"/>
          <w:szCs w:val="18"/>
        </w:rPr>
        <w:t xml:space="preserve">Supporting the Education </w:t>
      </w:r>
    </w:p>
    <w:p w14:paraId="41B61C65" w14:textId="5021B59D"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"/var/folders/l7/xsyc8qd571z0x_9_w06b59480000gn/T/com.microsoft.Word/WebArchiveCopyPasteTempFiles/page8image38360320"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4C19C043" wp14:editId="57FE4173">
            <wp:extent cx="5943600" cy="2619375"/>
            <wp:effectExtent l="0" t="0" r="0" b="0"/>
            <wp:docPr id="27" name="Picture 27" descr="page8image38360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8image383603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619375"/>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"/var/folders/l7/xsyc8qd571z0x_9_w06b59480000gn/T/com.microsoft.Word/WebArchiveCopyPasteTempFiles/page8image38360512"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12F19D97" wp14:editId="51F549FF">
            <wp:extent cx="5943600" cy="2619375"/>
            <wp:effectExtent l="0" t="0" r="0" b="0"/>
            <wp:docPr id="26" name="Picture 26" descr="page8image38360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age8image383605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2619375"/>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r w:rsidRPr="004D7472">
        <w:rPr>
          <w:rFonts w:ascii="Times New Roman" w:eastAsia="Times New Roman" w:hAnsi="Times New Roman" w:cs="Times New Roman"/>
        </w:rPr>
        <w:lastRenderedPageBreak/>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"/var/folders/l7/xsyc8qd571z0x_9_w06b59480000gn/T/com.microsoft.Word/WebArchiveCopyPasteTempFiles/page8image38360704"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5A3755C3" wp14:editId="2A730341">
            <wp:extent cx="5943600" cy="2619375"/>
            <wp:effectExtent l="0" t="0" r="0" b="0"/>
            <wp:docPr id="25" name="Picture 25" descr="page8image38360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age8image3836070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2619375"/>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"/var/folders/l7/xsyc8qd571z0x_9_w06b59480000gn/T/com.microsoft.Word/WebArchiveCopyPasteTempFiles/page8image38360896"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17E2049E" wp14:editId="591BF965">
            <wp:extent cx="5943600" cy="2619375"/>
            <wp:effectExtent l="0" t="0" r="0" b="0"/>
            <wp:docPr id="24" name="Picture 24" descr="page8image38360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age8image3836089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2619375"/>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"/var/folders/l7/xsyc8qd571z0x_9_w06b59480000gn/T/com.microsoft.Word/WebArchiveCopyPasteTempFiles/page8image38361088"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54D7CEA7" wp14:editId="67F66857">
            <wp:extent cx="5943600" cy="2619375"/>
            <wp:effectExtent l="0" t="0" r="0" b="0"/>
            <wp:docPr id="23" name="Picture 23" descr="page8image3836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age8image3836108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619375"/>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026C2563"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lastRenderedPageBreak/>
        <w:t xml:space="preserve">and lead to increased student dignity. As a result, this strategy also addresses issues involved in the criterion of ultimate functioning, the criterion of least dangerous assumption, and a functional life skills focus. Importantly, this strategy also contributes directly to normalization. </w:t>
      </w:r>
    </w:p>
    <w:p w14:paraId="09E30083"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The importance of age appropriateness is illustrated by the example of a 16-year-old student with severe disabilities engaged in work-related activities. This strategy would suggest having the student participate in a meaningful work activity such as sorting and stacking items in a warehouse or perhaps the school store (an activity for which the student might be paid) rather than one involving the sorting and stacking blocks at a desk or work table. In each case, the former materials and activities are age appropriate and more likely to foster interactions with same-age peers. Additionally, these activities and materials are consistent with the foundation of normalization. </w:t>
      </w:r>
    </w:p>
    <w:p w14:paraId="6497683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0" w:eastAsia="Times New Roman" w:hAnsi="AdvP49810" w:cs="Times New Roman"/>
          <w:sz w:val="22"/>
          <w:szCs w:val="22"/>
        </w:rPr>
        <w:t xml:space="preserve">Strategy 8: Take an educative approach to behavior problems. </w:t>
      </w:r>
      <w:r w:rsidRPr="004D7472">
        <w:rPr>
          <w:rFonts w:ascii="AdvP49811" w:eastAsia="Times New Roman" w:hAnsi="AdvP49811" w:cs="Times New Roman"/>
          <w:sz w:val="20"/>
          <w:szCs w:val="20"/>
        </w:rPr>
        <w:t xml:space="preserve">This strategy deals with issues of how to teach and is defined by its emphasis on proactive, skill building instructional techniques (e.g., prompting, shaping, positive reinforcement) rather than the use of behavior reduction strategies (e.g., time-out from positive reinforcement, overcorrection, response cost) to address behavior problems (Horner et al., 1990; Koegel et al., 1996). The focus here is on teaching appropriate behaviors that can serve the same functions as problem behaviors. Thus, a student’s repertoire of appropriate behavior is strengthened as part of the </w:t>
      </w:r>
    </w:p>
    <w:p w14:paraId="1F8734BC"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process of finding solutions to problem behavior (Browder, 1991). The success of this strategy is dependent upon careful and accurate assessment of the relationships between behavior and its maintaining environmental events. School psychologists often are well versed in this kind of assessment. </w:t>
      </w:r>
    </w:p>
    <w:p w14:paraId="20FEE485"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The strategy supports that when an undesirable behavior is part of a student’s repertoire one should not intervene solely by attempting to eliminate the problem behavior or reduce its rate of occurrence. This approach is preferred because students with severe and low-incidence disabilities often have limited repertoires of behavior initially. Focusing on weakening or eliminating those behaviors already within these limited repertoires may leave these students with few response options in a given situation. An alternative approach involves an initial assumption that the behavior of concern is functional for the student. The professional’s work thus involves identifying the function the problem behavior serves for the student and teaching the student alternative/replacement behaviors that serve this same function (Durand &amp; Carr, 1985). For example, given a student who engages in the undesirable behavior of grabbing food without asking, an initial assumption might be that the behavior is a successful strategy for obtaining desired food. If further assessment verifies this assumption (e.g., grabbing consistently results in food obtained rather than social attention), then it would be reasonable to teach the student to request desired food by pointing to it as one appropriate alternative behavior. Importantly, replacement behaviors chosen for instruc- </w:t>
      </w:r>
    </w:p>
    <w:p w14:paraId="6D917C15"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Chapter 76, Volume 4 </w:t>
      </w:r>
    </w:p>
    <w:p w14:paraId="0152338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1239 </w:t>
      </w:r>
    </w:p>
    <w:p w14:paraId="4990A73A" w14:textId="3C202516"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"/var/folders/l7/xsyc8qd571z0x_9_w06b59480000gn/T/com.microsoft.Word/WebArchiveCopyPasteTempFiles/page8image38361280"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761FD1C7" wp14:editId="12F42AF1">
            <wp:extent cx="5943600" cy="15240"/>
            <wp:effectExtent l="0" t="0" r="0" b="0"/>
            <wp:docPr id="22" name="Picture 22" descr="page8image3836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age8image383612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4D6C3157" w14:textId="1D539739"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"/var/folders/l7/xsyc8qd571z0x_9_w06b59480000gn/T/com.microsoft.Word/WebArchiveCopyPasteTempFiles/page9image38376512"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3DBFBBD3" wp14:editId="02A20983">
            <wp:extent cx="5943600" cy="15240"/>
            <wp:effectExtent l="0" t="0" r="0" b="0"/>
            <wp:docPr id="21" name="Picture 21" descr="page9image3837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age9image383765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4AADB0AB"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B" w:eastAsia="Times New Roman" w:hAnsi="AdvP6A4B" w:cs="Times New Roman"/>
          <w:sz w:val="18"/>
          <w:szCs w:val="18"/>
        </w:rPr>
        <w:t xml:space="preserve">Best Practices in School Psychology V </w:t>
      </w:r>
    </w:p>
    <w:p w14:paraId="045F76B4"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tion should be as efficient as the problem behavior in achieving the desired outcome. Similar to the other strategies discussed thus far, an educative, behavior replacement strategy for dealing with behavior problems is believed to facilitate normalization and contribute to enhanced dignity for students with severe disabilities. </w:t>
      </w:r>
    </w:p>
    <w:p w14:paraId="5D597E0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0" w:eastAsia="Times New Roman" w:hAnsi="AdvP49810" w:cs="Times New Roman"/>
          <w:sz w:val="22"/>
          <w:szCs w:val="22"/>
        </w:rPr>
        <w:t xml:space="preserve">Strategy 9: Emphasize partial participation. </w:t>
      </w:r>
    </w:p>
    <w:p w14:paraId="4D45AE6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lastRenderedPageBreak/>
        <w:t xml:space="preserve">Partial participation (Baumgart et al., 1982; Ferguson &amp; Baumgart, 1991) is a strategy that deals with the goals of instruction and emphasizes participation in normalized interdependencies as an instructional outcome rather than striving specifically for total independence (Giangreco &amp; Meyer, 1988). The premise here is that partial participation contributes to normalization in recognizing that all persons participate in interdepend- encies and that some participation in meaningful activities is possible regardless of physical, social, or cognitive skills. Further, students with severe disabilities can learn a variety of skills that make it possible for them ‘‘to function, at least in part, in a wide range of least restrictive school and nonschool environments and activities’’ (Baumgart et al., 1982, p. 19). This may mean that students with severe and low-incidence disabilities participate in a variety of universal or Tier 1 instructional environments with accommodations provided when needed. </w:t>
      </w:r>
    </w:p>
    <w:p w14:paraId="0541BFE1"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This strategy, with its focus on independence to the degree possible for each individual, also reflects the spirit of the criterion of ultimate functioning. For example, some students may not be able to prepare breakfast independently; however, they could participate partially in meal preparation by making choices (e.g., choosing what to eat) and assisting another person in preparing the food (e.g., putting the bread in the toaster and informing the other person when the bread is finished toasting). According to Westling and Fox (2004), this partial participation ‘‘can represent an important aspect of the educational experience, contribute to the group activity in a meaningful way, and allow the student to practice a relevant objective’’ (p. 155). The idea here is that the student participates actively and continuously throughout the day and that participation should be consistent with multiple caregivers’ views of the student’s needs (Ferguson &amp; Baumgart, 1991; Westling &amp; Fox, 2004). </w:t>
      </w:r>
    </w:p>
    <w:p w14:paraId="466ACF43"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0" w:eastAsia="Times New Roman" w:hAnsi="AdvP49810" w:cs="Times New Roman"/>
          <w:sz w:val="22"/>
          <w:szCs w:val="22"/>
        </w:rPr>
        <w:t xml:space="preserve">Strategy 10: Focus on the function and critical effect of behavior. </w:t>
      </w:r>
      <w:r w:rsidRPr="004D7472">
        <w:rPr>
          <w:rFonts w:ascii="AdvP49811" w:eastAsia="Times New Roman" w:hAnsi="AdvP49811" w:cs="Times New Roman"/>
          <w:sz w:val="20"/>
          <w:szCs w:val="20"/>
        </w:rPr>
        <w:t xml:space="preserve">This final strategy also focuses on the goals of instruction and highlights the importance of the function or critical effect of behavior rather than the form of behavior. As Brown (1987) and </w:t>
      </w:r>
    </w:p>
    <w:p w14:paraId="0A9E23D8"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White (1980) have discussed with regard to human actions, form indicates a specific configuration of motor act or behavior while function refers to the outcome resulting from an action or behavior. Of concern is that an exclusive emphasis on form disregards the likelihood that there are a variety of ways to achieve a particular outcome. For example, walking, taking a taxi, taking a bus, or having a friend give a ride in a car may accomplish the function of getting to work. With a focus on function or achieving critical effects, instructional outcomes such as getting to work are of primary importance rather than the specific motor act. </w:t>
      </w:r>
    </w:p>
    <w:p w14:paraId="6FD1DB8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In this example, the critical effect is that the person gets to work. If, however, a person gets on the bus, says hello to the driver, pays the fare, sits down, pulls the cord to signal the driver to stop, </w:t>
      </w:r>
      <w:r w:rsidRPr="004D7472">
        <w:rPr>
          <w:rFonts w:ascii="AdvP49812" w:eastAsia="Times New Roman" w:hAnsi="AdvP49812" w:cs="Times New Roman"/>
          <w:sz w:val="20"/>
          <w:szCs w:val="20"/>
        </w:rPr>
        <w:t xml:space="preserve">but </w:t>
      </w:r>
      <w:r w:rsidRPr="004D7472">
        <w:rPr>
          <w:rFonts w:ascii="AdvP49811" w:eastAsia="Times New Roman" w:hAnsi="AdvP49811" w:cs="Times New Roman"/>
          <w:sz w:val="20"/>
          <w:szCs w:val="20"/>
        </w:rPr>
        <w:t xml:space="preserve">does not get off the bus, then the critical effect has not been achieved. Failure to achieve the critical effect can be a problem with traditional task analysis in which the focus is on each component behavior and not on the critical outcome. Many component behaviors may occur without achieve- ment of the critical effect. The main point is to focus instruction on achieving important outcomes via beha- viors that may vary from person to person. This focus on the critical effect of behavior is consistent with the current emphasis on student outcomes (i.e., as a result of intervention or instruction) in the field of school psychology (Reschly &amp; Ysseldyke, 2002). </w:t>
      </w:r>
    </w:p>
    <w:p w14:paraId="60DF9D83"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As discussed here, the strategies are interrelated. Furthermore, practices guided by them are compatible with the foundations of LRE, normalization, and positive behavioral support. Each of the strategies serves as a standard against which school psychologists, teachers, and other educators who serve on a transdi- ciplinary team can judge and guide the appropriateness of their professional activities with students with severe and low-incidence disabilities. The strategies also serve as guidelines that can be used to determine which specific tactics (methods and procedures) to use when implementing this model for serving students with severe and low-incidence disabilities within a problem-solving framework. </w:t>
      </w:r>
    </w:p>
    <w:p w14:paraId="7DAA91EA"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0F" w:eastAsia="Times New Roman" w:hAnsi="AdvP4980F" w:cs="Times New Roman"/>
          <w:sz w:val="22"/>
          <w:szCs w:val="22"/>
        </w:rPr>
        <w:t xml:space="preserve">Integrating the Foundations and Strategies Into a Best Practice Service Delivery Model </w:t>
      </w:r>
    </w:p>
    <w:p w14:paraId="13ACAA5B"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lastRenderedPageBreak/>
        <w:t xml:space="preserve">Increasingly, school psychologists are implementing a service delivery system for students with severe and low- incidence disabilities based on the foundations and strategies presented thus far, where individually refer- enced assessment and data-based decision making are </w:t>
      </w:r>
    </w:p>
    <w:p w14:paraId="621031B5"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1240 </w:t>
      </w:r>
    </w:p>
    <w:p w14:paraId="224FE5F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Chapter 76, Volume 4 </w:t>
      </w:r>
    </w:p>
    <w:p w14:paraId="6E36F0B3" w14:textId="3633B46F"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"/var/folders/l7/xsyc8qd571z0x_9_w06b59480000gn/T/com.microsoft.Word/WebArchiveCopyPasteTempFiles/page9image38375936"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7F95634B" wp14:editId="13476D2B">
            <wp:extent cx="5943600" cy="15240"/>
            <wp:effectExtent l="0" t="0" r="0" b="0"/>
            <wp:docPr id="20" name="Picture 20" descr="page9image3837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age9image383759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4CBD0268" w14:textId="7FD196E2"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"/var/folders/l7/xsyc8qd571z0x_9_w06b59480000gn/T/com.microsoft.Word/WebArchiveCopyPasteTempFiles/page10image38705536"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210F25B1" wp14:editId="1BE37379">
            <wp:extent cx="5943600" cy="15240"/>
            <wp:effectExtent l="0" t="0" r="0" b="0"/>
            <wp:docPr id="19" name="Picture 19" descr="page10image38705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age10image387055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0A122188"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required. For this purpose, an extension of Deno’s (1989) problem-solving model is suggested. This approach and its implementation in educational service provision to students with severe and low-incidence disabilities are discussed next. The focus here is on integrating functional assessment activities with service provision and on making explicit linkages between assessment and inter- vention in an ongoing manner. Such a model advocates for the use of functional assessment for decision-making purposes within each phase of the model. </w:t>
      </w:r>
    </w:p>
    <w:p w14:paraId="749D186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0" w:eastAsia="Times New Roman" w:hAnsi="AdvP49810" w:cs="Times New Roman"/>
          <w:sz w:val="22"/>
          <w:szCs w:val="22"/>
        </w:rPr>
        <w:t xml:space="preserve">A Problem-Solving Approach </w:t>
      </w:r>
    </w:p>
    <w:p w14:paraId="49BDF18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A problem-solving approach provides a set of guiding principles for professional school psychology activities within the processes of assessment as well as intervention design and delivery. The problem-solving approach consists of a set of related phases (see Tilly, chapter 2, vol. 1, for more details regarding the problem-solving model). In our discussion here, we have deviated slightly from the manner in which the model is described by Tilly, but the essential components remain the same. </w:t>
      </w:r>
    </w:p>
    <w:p w14:paraId="16E76DE2"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0" w:eastAsia="Times New Roman" w:hAnsi="AdvP49810" w:cs="Times New Roman"/>
          <w:sz w:val="22"/>
          <w:szCs w:val="22"/>
        </w:rPr>
        <w:t xml:space="preserve">Problem identification and analysis. </w:t>
      </w:r>
      <w:r w:rsidRPr="004D7472">
        <w:rPr>
          <w:rFonts w:ascii="AdvP49811" w:eastAsia="Times New Roman" w:hAnsi="AdvP49811" w:cs="Times New Roman"/>
          <w:sz w:val="20"/>
          <w:szCs w:val="20"/>
        </w:rPr>
        <w:t xml:space="preserve">Within the model, a problem is defined as a discrepancy between student current performance and expected or future environmental demands. Problem analysis is focused on why problems exist and on generating hypotheses that link directly to intervention devel- opment (e.g., what function a challenging behavior serves for a student so an appropriate replacement behavior may be taught). Problem identification and analysis decisions are individually referenced and reflect the student’s performance within the specified life skills areas of work, leisure, and personal management (Browder, 1991). </w:t>
      </w:r>
    </w:p>
    <w:p w14:paraId="476F468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Setting conditions used in determining individual environmental expectations for students with severe and low-incidence disabilities include the number of oppor- tunities the student has to perform a particular skill or activity, the degree of independence with which the student participates, and social and physical integration with peers without disabilities. </w:t>
      </w:r>
    </w:p>
    <w:p w14:paraId="12F17134"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Also considered important in these initial phases of problem solving are physical and/or sensory limitations of the student; daily schedules and preferences for activities of the student, family members, and teacher; and the perceived importance of a particular skill or activity to those individuals. Thus, problem identifica- tion and analysis involves evaluating not only the student’s skills but also comparing those skills with the expectations of teachers, parents, and the learner. </w:t>
      </w:r>
    </w:p>
    <w:p w14:paraId="5390884B"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Chapter 76, Volume 4 </w:t>
      </w:r>
    </w:p>
    <w:p w14:paraId="6AC98C1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Problems are identified and analyzed through parent, teacher, and student interviews; checklists; as well as through direct observation and functional assessment. These activities may be followed up by an ecological inventory or environmental analysis (Browder, 1991, 2001; Brown et al., 2006) of the student’s current and future environments. Ecological inventories are essen- tially an analysis of current and future environments (i.e., considering transitions) used to determine skills needed in settings across various domains of </w:t>
      </w:r>
      <w:r w:rsidRPr="004D7472">
        <w:rPr>
          <w:rFonts w:ascii="AdvP49811" w:eastAsia="Times New Roman" w:hAnsi="AdvP49811" w:cs="Times New Roman"/>
          <w:sz w:val="20"/>
          <w:szCs w:val="20"/>
        </w:rPr>
        <w:lastRenderedPageBreak/>
        <w:t xml:space="preserve">functioning (e.g., domestic, community, workplace or school, leisure/recreation) determined relevant for the student (Browder, 1991; Westling &amp; Fox, 2004). These invent- ories utilize a variety of assessment methods including interviews, observations, and surveys (Browder, 1991). This process is crucial for determining the appropriate level for interventions (i.e., Tier 1, 2, or 3) as well as prioritizing the implementation of possible solutions (see Brown et al., 2006, for examples of ecological inventories). </w:t>
      </w:r>
    </w:p>
    <w:p w14:paraId="51116A29"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0" w:eastAsia="Times New Roman" w:hAnsi="AdvP49810" w:cs="Times New Roman"/>
          <w:sz w:val="22"/>
          <w:szCs w:val="22"/>
        </w:rPr>
        <w:t xml:space="preserve">Exploring (generating) solutions. </w:t>
      </w:r>
      <w:r w:rsidRPr="004D7472">
        <w:rPr>
          <w:rFonts w:ascii="AdvP49811" w:eastAsia="Times New Roman" w:hAnsi="AdvP49811" w:cs="Times New Roman"/>
          <w:sz w:val="20"/>
          <w:szCs w:val="20"/>
        </w:rPr>
        <w:t xml:space="preserve">Exploring solutions involves prioritizing problems and identifying teaching strategies to address them (e.g., in developing Individualized Educational Plans [IEP] or Individual Family Service Plans [IFSP]). Functional assessment data collected during the problem identification and analysis phase should link directly to the solutions generated. Exploring (generating) solutions should be a collaborative effort involving teachers, parents, other caregivers, and the student, when feasible. In addition, such efforts should involve the potential network of agency, community-based, and/or medical service providers who may offer services to the student and his or her family. These efforts will increase the likelihood of both intervention acceptability and adher- ence as well as provide open lines of communication among a transdisciplinary support team. Issues con- sidered during this phase are: </w:t>
      </w:r>
    </w:p>
    <w:p w14:paraId="24228C20"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7CA8" w:eastAsia="Times New Roman" w:hAnsi="AdvP7CA8" w:cs="Times New Roman"/>
          <w:sz w:val="32"/>
          <w:szCs w:val="32"/>
        </w:rPr>
        <w:t xml:space="preserve">N </w:t>
      </w:r>
      <w:r w:rsidRPr="004D7472">
        <w:rPr>
          <w:rFonts w:ascii="AdvP49811" w:eastAsia="Times New Roman" w:hAnsi="AdvP49811" w:cs="Times New Roman"/>
          <w:sz w:val="20"/>
          <w:szCs w:val="20"/>
        </w:rPr>
        <w:t xml:space="preserve">To what extent is the teaching approach activity based? What activities can be used to teach toward IEP goals? </w:t>
      </w:r>
    </w:p>
    <w:p w14:paraId="5C666A4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7CA8" w:eastAsia="Times New Roman" w:hAnsi="AdvP7CA8" w:cs="Times New Roman"/>
          <w:sz w:val="32"/>
          <w:szCs w:val="32"/>
        </w:rPr>
        <w:t xml:space="preserve">N </w:t>
      </w:r>
      <w:r w:rsidRPr="004D7472">
        <w:rPr>
          <w:rFonts w:ascii="AdvP49811" w:eastAsia="Times New Roman" w:hAnsi="AdvP49811" w:cs="Times New Roman"/>
          <w:sz w:val="20"/>
          <w:szCs w:val="20"/>
        </w:rPr>
        <w:t xml:space="preserve">To what extent does the range of activities include the domains of leisure, work, and personal manage- ment? What other activities should be included in instruction? </w:t>
      </w:r>
    </w:p>
    <w:p w14:paraId="60094BD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7CA8" w:eastAsia="Times New Roman" w:hAnsi="AdvP7CA8" w:cs="Times New Roman"/>
          <w:sz w:val="32"/>
          <w:szCs w:val="32"/>
        </w:rPr>
        <w:t xml:space="preserve">N </w:t>
      </w:r>
      <w:r w:rsidRPr="004D7472">
        <w:rPr>
          <w:rFonts w:ascii="AdvP49811" w:eastAsia="Times New Roman" w:hAnsi="AdvP49811" w:cs="Times New Roman"/>
          <w:sz w:val="20"/>
          <w:szCs w:val="20"/>
        </w:rPr>
        <w:t xml:space="preserve">To what extent are the activities community referenced? </w:t>
      </w:r>
    </w:p>
    <w:p w14:paraId="5FB03E1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7CA8" w:eastAsia="Times New Roman" w:hAnsi="AdvP7CA8" w:cs="Times New Roman"/>
          <w:sz w:val="32"/>
          <w:szCs w:val="32"/>
        </w:rPr>
        <w:t xml:space="preserve">N </w:t>
      </w:r>
      <w:r w:rsidRPr="004D7472">
        <w:rPr>
          <w:rFonts w:ascii="AdvP49811" w:eastAsia="Times New Roman" w:hAnsi="AdvP49811" w:cs="Times New Roman"/>
          <w:sz w:val="20"/>
          <w:szCs w:val="20"/>
        </w:rPr>
        <w:t xml:space="preserve">To what extent is partial participation fostered? </w:t>
      </w:r>
      <w:r w:rsidRPr="004D7472">
        <w:rPr>
          <w:rFonts w:ascii="AdvP6A46" w:eastAsia="Times New Roman" w:hAnsi="AdvP6A46" w:cs="Times New Roman"/>
          <w:sz w:val="18"/>
          <w:szCs w:val="18"/>
        </w:rPr>
        <w:t xml:space="preserve">1241 </w:t>
      </w:r>
    </w:p>
    <w:p w14:paraId="074AEC4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B" w:eastAsia="Times New Roman" w:hAnsi="AdvP6A4B" w:cs="Times New Roman"/>
          <w:sz w:val="18"/>
          <w:szCs w:val="18"/>
        </w:rPr>
        <w:t xml:space="preserve">Supporting the Education </w:t>
      </w:r>
    </w:p>
    <w:p w14:paraId="6056ECD4" w14:textId="300F96CF"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"/var/folders/l7/xsyc8qd571z0x_9_w06b59480000gn/T/com.microsoft.Word/WebArchiveCopyPasteTempFiles/page10image38389248"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5D25AB13" wp14:editId="7AE14B38">
            <wp:extent cx="5943600" cy="15240"/>
            <wp:effectExtent l="0" t="0" r="0" b="0"/>
            <wp:docPr id="18" name="Picture 18" descr="page10image38389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age10image383892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01C87216" w14:textId="1735399B"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"/var/folders/l7/xsyc8qd571z0x_9_w06b59480000gn/T/com.microsoft.Word/WebArchiveCopyPasteTempFiles/page11image38277056"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0920E574" wp14:editId="1E8609DE">
            <wp:extent cx="5943600" cy="15240"/>
            <wp:effectExtent l="0" t="0" r="0" b="0"/>
            <wp:docPr id="17" name="Picture 17" descr="page11image38277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age11image382770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01CD6D25"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B" w:eastAsia="Times New Roman" w:hAnsi="AdvP6A4B" w:cs="Times New Roman"/>
          <w:sz w:val="18"/>
          <w:szCs w:val="18"/>
        </w:rPr>
        <w:t xml:space="preserve">Best Practices in School Psychology V </w:t>
      </w:r>
    </w:p>
    <w:p w14:paraId="40E0CBEE"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7CA8" w:eastAsia="Times New Roman" w:hAnsi="AdvP7CA8" w:cs="Times New Roman"/>
          <w:sz w:val="32"/>
          <w:szCs w:val="32"/>
        </w:rPr>
        <w:t xml:space="preserve">N </w:t>
      </w:r>
      <w:r w:rsidRPr="004D7472">
        <w:rPr>
          <w:rFonts w:ascii="AdvP49811" w:eastAsia="Times New Roman" w:hAnsi="AdvP49811" w:cs="Times New Roman"/>
          <w:sz w:val="20"/>
          <w:szCs w:val="20"/>
        </w:rPr>
        <w:t xml:space="preserve">To what extent are instructional goals individually determined (e.g., based on individual needs and not a cookbook approach)? </w:t>
      </w:r>
    </w:p>
    <w:p w14:paraId="0AFC4FB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7CA8" w:eastAsia="Times New Roman" w:hAnsi="AdvP7CA8" w:cs="Times New Roman"/>
          <w:sz w:val="32"/>
          <w:szCs w:val="32"/>
        </w:rPr>
        <w:t xml:space="preserve">N </w:t>
      </w:r>
      <w:r w:rsidRPr="004D7472">
        <w:rPr>
          <w:rFonts w:ascii="AdvP49811" w:eastAsia="Times New Roman" w:hAnsi="AdvP49811" w:cs="Times New Roman"/>
          <w:sz w:val="20"/>
          <w:szCs w:val="20"/>
        </w:rPr>
        <w:t xml:space="preserve">To what extent are opportunities provided to perform the activities? What other additional or alternative opportunities can be incorporated into the student’s instructional program? </w:t>
      </w:r>
    </w:p>
    <w:p w14:paraId="0C8BAF2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7CA8" w:eastAsia="Times New Roman" w:hAnsi="AdvP7CA8" w:cs="Times New Roman"/>
          <w:sz w:val="32"/>
          <w:szCs w:val="32"/>
        </w:rPr>
        <w:t xml:space="preserve">N </w:t>
      </w:r>
      <w:r w:rsidRPr="004D7472">
        <w:rPr>
          <w:rFonts w:ascii="AdvP49811" w:eastAsia="Times New Roman" w:hAnsi="AdvP49811" w:cs="Times New Roman"/>
          <w:sz w:val="20"/>
          <w:szCs w:val="20"/>
        </w:rPr>
        <w:t xml:space="preserve">To what extent are the resources needed available? What additional resources are needed? </w:t>
      </w:r>
    </w:p>
    <w:p w14:paraId="65CBF69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When answering these questions, the development of a functional curriculum is considered a dynamic process that results in a product that is open to revision and improvement. Plans should be designed to be responsive to student performance, changing student environments, and evolving parent priorities and ensures the curric- ulum remains relevant to student needs. Thus, students may move between intervention tiers across a variety of skill domains. </w:t>
      </w:r>
    </w:p>
    <w:p w14:paraId="5CBFBCE5"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0" w:eastAsia="Times New Roman" w:hAnsi="AdvP49810" w:cs="Times New Roman"/>
          <w:sz w:val="22"/>
          <w:szCs w:val="22"/>
        </w:rPr>
        <w:lastRenderedPageBreak/>
        <w:t xml:space="preserve">Applying and evaluating solutions. </w:t>
      </w:r>
      <w:r w:rsidRPr="004D7472">
        <w:rPr>
          <w:rFonts w:ascii="AdvP49811" w:eastAsia="Times New Roman" w:hAnsi="AdvP49811" w:cs="Times New Roman"/>
          <w:sz w:val="20"/>
          <w:szCs w:val="20"/>
        </w:rPr>
        <w:t xml:space="preserve">Applying solutions to problems involves implementing selected instructional and intervention programs to achieve IEP or IFSP goals that were explored during the previous phase. Importantly, choices made regarding instruc- tional tactics should be based upon individualized functional assessment of life skills functioning and functional behavioral assessments. In addition, features of treatment acceptability (e.g., ease of use, social validity) should be considered. However, primary issues such as specific student needs, available resources, and the LRE must remain paramount when implementing interventions. </w:t>
      </w:r>
    </w:p>
    <w:p w14:paraId="42BE8651"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School psychologists actively support teachers’ and parents’ understanding of instructional results by evalu- ating solutions and monitoring students’ progress toward the attainment of activity-based IEP or IFSP objectives and long-term curriculum goals developed during the exploring solutions phase. The evaluation process is individually referenced (i.e., based on measured differ- ences between a student’s present and past performance) and community referenced (i.e., based on differences between a student’s current performance and future community performance expectations). Because it is impossible to identify the effectiveness of a particular instructional program for an individual student in an a priori fashion (Campbell, 1988; Deno, 1986, 1989), this kind of evaluation is critical. Changes made in instruc- tional programs and interventions are treated as problem- solving hypotheses requiring empirical evaluation. Thus, this phase involves determining or examining the </w:t>
      </w:r>
    </w:p>
    <w:p w14:paraId="2233A533"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effectiveness of implemented solutions through ongoing assessment and data collection and making adjustments to interventions based on student performance data. Assessment strategies used in evaluating solutions include ecological inventories, functional assessment (i.e., direct assessment of environment–behavior relationships), as well as frequent and direct measurement of student performance. </w:t>
      </w:r>
    </w:p>
    <w:p w14:paraId="32554BDA"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0" w:eastAsia="Times New Roman" w:hAnsi="AdvP49810" w:cs="Times New Roman"/>
          <w:sz w:val="22"/>
          <w:szCs w:val="22"/>
        </w:rPr>
        <w:t xml:space="preserve">Problem solution. </w:t>
      </w:r>
      <w:r w:rsidRPr="004D7472">
        <w:rPr>
          <w:rFonts w:ascii="AdvP49811" w:eastAsia="Times New Roman" w:hAnsi="AdvP49811" w:cs="Times New Roman"/>
          <w:sz w:val="20"/>
          <w:szCs w:val="20"/>
        </w:rPr>
        <w:t xml:space="preserve">As indicated previously, instructional programs and interventions should be considered as hypotheses to be tested. Therefore, changes in curricula and intervention approaches are made when the desired outcomes are not being achieved. This formative evaluation is critical to the success of the problem-solving approach. However, summative decisions are important as well. Changes should also be made in student programs when the desired goals have been met or when there is no longer a significant discrepancy between student performance in a particular area and the current or future expected environmental demands in that domain. The same team that initially explored solutions also should determine if goals are still relevant or if the student can move from one intervention tier to another. Issues to consider beyond whether the discrepancy still exists are changes in circumstances, priorities, environment, opportunity, or student and caregiver preferences. Because the phase essentially involves a reexamination of issues considered during the first phase, the methods used are similar to those used during the problem identification and validation phase. The problem-solving decision steps and their associated purposes, issues considered, and methods/procedures are illustrated in Table 2. </w:t>
      </w:r>
    </w:p>
    <w:p w14:paraId="0D4BB820"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0" w:eastAsia="Times New Roman" w:hAnsi="AdvP49810" w:cs="Times New Roman"/>
          <w:sz w:val="22"/>
          <w:szCs w:val="22"/>
        </w:rPr>
        <w:t xml:space="preserve">Tactics </w:t>
      </w:r>
    </w:p>
    <w:p w14:paraId="2CE35381"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The preparation and role requirements of school psychologists to deliver best practice technology in serving students and young adults with severe and low- incidence disabilities is complex and demanding given contemporary special education practices with these students. Within special education, changes have been evident in at least three areas: (a) in the approach to the assessment of students with severe and low-incidence disabilities (cf. Sailor &amp; Horner, 1976, with Robinson &amp; Robinson, 1983; White, 1980; Berg, Wacker, &amp; Steege, 1995; IDEA; and President’s Commission on Excellence in Special Education, 2002); (b) in the design of curriculum sequences (cf. Cohen, Gross, &amp; Haring, 1976, with Browder, 1991, 2001) and instructional delivery (cf. Fredricks et al., 1978, with Westling &amp; Fox, </w:t>
      </w:r>
    </w:p>
    <w:p w14:paraId="28075854"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1242 </w:t>
      </w:r>
    </w:p>
    <w:p w14:paraId="3CD44789"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Chapter 76, Volume 4 </w:t>
      </w:r>
    </w:p>
    <w:p w14:paraId="36C93560" w14:textId="762D200D"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lastRenderedPageBreak/>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"/var/folders/l7/xsyc8qd571z0x_9_w06b59480000gn/T/com.microsoft.Word/WebArchiveCopyPasteTempFiles/page11image38382464"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4E0F35AF" wp14:editId="32D02521">
            <wp:extent cx="5943600" cy="15240"/>
            <wp:effectExtent l="0" t="0" r="0" b="0"/>
            <wp:docPr id="16" name="Picture 16" descr="page11image38382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age11image3838246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60117F36" w14:textId="51F20EFF"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"/var/folders/l7/xsyc8qd571z0x_9_w06b59480000gn/T/com.microsoft.Word/WebArchiveCopyPasteTempFiles/page12image38291520"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388B4A4C" wp14:editId="6E47C233">
            <wp:extent cx="5943600" cy="15240"/>
            <wp:effectExtent l="0" t="0" r="0" b="0"/>
            <wp:docPr id="15" name="Picture 15" descr="page12image3829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ge12image382915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1A4A2492"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B" w:eastAsia="Times New Roman" w:hAnsi="AdvP6A4B" w:cs="Times New Roman"/>
          <w:sz w:val="18"/>
          <w:szCs w:val="18"/>
        </w:rPr>
        <w:t xml:space="preserve">Supporting the Education </w:t>
      </w:r>
    </w:p>
    <w:p w14:paraId="2969A25F" w14:textId="361B433A"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lastRenderedPageBreak/>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"/var/folders/l7/xsyc8qd571z0x_9_w06b59480000gn/T/com.microsoft.Word/WebArchiveCopyPasteTempFiles/page12image38291712"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52AE29A3" wp14:editId="1CCB1617">
            <wp:extent cx="2677795" cy="8229600"/>
            <wp:effectExtent l="0" t="0" r="1905" b="0"/>
            <wp:docPr id="14" name="Picture 14" descr="page12image38291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age12image382917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77795" cy="822960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"/var/folders/l7/xsyc8qd571z0x_9_w06b59480000gn/T/com.microsoft.Word/WebArchiveCopyPasteTempFiles/page12image38291904"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7E803EDB" wp14:editId="05C98CDB">
            <wp:extent cx="2677795" cy="8229600"/>
            <wp:effectExtent l="0" t="0" r="1905" b="0"/>
            <wp:docPr id="13" name="Picture 13" descr="page12image38291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age12image3829190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77795" cy="822960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"/var/folders/l7/xsyc8qd571z0x_9_w06b59480000gn/T/com.microsoft.Word/WebArchiveCopyPasteTempFiles/page12image38292096"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18F8664D" wp14:editId="1E4A8314">
            <wp:extent cx="15240" cy="8229600"/>
            <wp:effectExtent l="0" t="0" r="0" b="0"/>
            <wp:docPr id="12" name="Picture 12" descr="page12image38292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age12image3829209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 cy="822960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5486EC3B"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lastRenderedPageBreak/>
        <w:t xml:space="preserve">Chapter 76, Volume 4 1243 </w:t>
      </w:r>
    </w:p>
    <w:p w14:paraId="5721657B" w14:textId="018AD866"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"/var/folders/l7/xsyc8qd571z0x_9_w06b59480000gn/T/com.microsoft.Word/WebArchiveCopyPasteTempFiles/page12image38292288"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0C794C80" wp14:editId="33EF61E2">
            <wp:extent cx="5943600" cy="15240"/>
            <wp:effectExtent l="0" t="0" r="0" b="0"/>
            <wp:docPr id="11" name="Picture 11" descr="page12image3829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age12image3829228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373EF58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50" w:eastAsia="Times New Roman" w:hAnsi="AdvP6A50" w:cs="Times New Roman"/>
          <w:sz w:val="20"/>
          <w:szCs w:val="20"/>
        </w:rPr>
        <w:t xml:space="preserve">Table 2. </w:t>
      </w:r>
      <w:r w:rsidRPr="004D7472">
        <w:rPr>
          <w:rFonts w:ascii="AdvP4980F" w:eastAsia="Times New Roman" w:hAnsi="AdvP4980F" w:cs="Times New Roman"/>
          <w:sz w:val="20"/>
          <w:szCs w:val="20"/>
        </w:rPr>
        <w:t xml:space="preserve">Problem-Solving Model for Students With Severe Disabilities </w:t>
      </w:r>
    </w:p>
    <w:p w14:paraId="055F023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Problem-solving decision </w:t>
      </w:r>
    </w:p>
    <w:p w14:paraId="28E478E2"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Purpose </w:t>
      </w:r>
    </w:p>
    <w:p w14:paraId="5FFE3078"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Issues considered </w:t>
      </w:r>
    </w:p>
    <w:p w14:paraId="3596588A"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Method/procedure </w:t>
      </w:r>
    </w:p>
    <w:p w14:paraId="63CF8404"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Problem identification and analysis </w:t>
      </w:r>
    </w:p>
    <w:p w14:paraId="2B087E2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Describe the difference between the student’s current performance and the current or future expected environmental demands. Describe the severity and magnitude of the difference. Explore hypotheses regarding the reason for the discrepancy and/or function of behavior. </w:t>
      </w:r>
    </w:p>
    <w:p w14:paraId="7FDC3278"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Frequency, independence, social integration physical integration, opportunity, limitations, preferences, perceived importance, community referencing. </w:t>
      </w:r>
    </w:p>
    <w:p w14:paraId="3D892E6A"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Checklists, adaptive behavior scales, interviews, questionnaires, ecological inventories, functional analyses, observations. </w:t>
      </w:r>
    </w:p>
    <w:p w14:paraId="52C6660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Exploring solutions </w:t>
      </w:r>
    </w:p>
    <w:p w14:paraId="2046273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Describe the goals, content, and process of the intervention. Development of IEP, instructional tactics, and curricula. </w:t>
      </w:r>
    </w:p>
    <w:p w14:paraId="3E5B33A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Specific student needs, activity-based approach, life skills domains, parent and student preferences, community referencing, partial participation, opportunity, resources, LRE. </w:t>
      </w:r>
    </w:p>
    <w:p w14:paraId="4BDA9E1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General case programming, task analyses, error analyses, activity-based assessment and programming, ecological inventories. </w:t>
      </w:r>
    </w:p>
    <w:p w14:paraId="1CEF7FD8"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Applying and evaluating solutions </w:t>
      </w:r>
    </w:p>
    <w:p w14:paraId="2B0850B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Implement plans developed in previous phase. Monitor implementation of intervention and student progress toward goals. </w:t>
      </w:r>
    </w:p>
    <w:p w14:paraId="790E699A"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Treatment integrity, measurement integrity, social validity. </w:t>
      </w:r>
    </w:p>
    <w:p w14:paraId="38F63E52"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Observations, ecological inventories, functional analyses, checklists. </w:t>
      </w:r>
    </w:p>
    <w:p w14:paraId="59C18F8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Problem solution </w:t>
      </w:r>
    </w:p>
    <w:p w14:paraId="71AD042A"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Describe the difference between the student’s current performance and the current or future expected environmental demands. Decide if goals are still relevant. </w:t>
      </w:r>
    </w:p>
    <w:p w14:paraId="1585A75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Change in preferences, environment, need, importance, community referencing, partial participation, opportunity, resources, LRE. </w:t>
      </w:r>
    </w:p>
    <w:p w14:paraId="43714D42"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8"/>
          <w:szCs w:val="18"/>
        </w:rPr>
        <w:t xml:space="preserve">Checklists, adaptive behavior scales, interviews, questionnaires, ecological inventories, functional analyses, observations. </w:t>
      </w:r>
    </w:p>
    <w:p w14:paraId="6CADAD99"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2" w:eastAsia="Times New Roman" w:hAnsi="AdvP49812" w:cs="Times New Roman"/>
          <w:sz w:val="18"/>
          <w:szCs w:val="18"/>
        </w:rPr>
        <w:lastRenderedPageBreak/>
        <w:t>Note</w:t>
      </w:r>
      <w:r w:rsidRPr="004D7472">
        <w:rPr>
          <w:rFonts w:ascii="AdvP49811" w:eastAsia="Times New Roman" w:hAnsi="AdvP49811" w:cs="Times New Roman"/>
          <w:sz w:val="18"/>
          <w:szCs w:val="18"/>
        </w:rPr>
        <w:t xml:space="preserve">. A variety of checklists might be used, but all should focus on the assessment of functional skills, choice making, and preferences. Guidelines for the development of checklists as well as sample checklists are found in Browder (2001). </w:t>
      </w:r>
    </w:p>
    <w:p w14:paraId="5DE9B181" w14:textId="5BE1CEFE"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"/var/folders/l7/xsyc8qd571z0x_9_w06b59480000gn/T/com.microsoft.Word/WebArchiveCopyPasteTempFiles/page13image38307328"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24788AA4" wp14:editId="7E45EEA9">
            <wp:extent cx="5943600" cy="15240"/>
            <wp:effectExtent l="0" t="0" r="0" b="0"/>
            <wp:docPr id="10" name="Picture 10" descr="page13image38307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age13image383073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694B837E"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B" w:eastAsia="Times New Roman" w:hAnsi="AdvP6A4B" w:cs="Times New Roman"/>
          <w:sz w:val="18"/>
          <w:szCs w:val="18"/>
        </w:rPr>
        <w:t xml:space="preserve">Best Practices in School Psychology V </w:t>
      </w:r>
    </w:p>
    <w:p w14:paraId="11006C9E"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2004); and (c) in the generalization and maintenance of stimulus control (cf. the train-and-hope method with general case programming promoted by Albin &amp; Horner, 1988). </w:t>
      </w:r>
    </w:p>
    <w:p w14:paraId="585395D4"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As the needs of the educational system change, professional standards and practices of related services personnel must adapt such that demands for maximally effective educational environments and direct and related services for learners with severe and low- incidence disabilities can be provided. </w:t>
      </w:r>
    </w:p>
    <w:p w14:paraId="19A7DB35"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Hence, three general tactical areas are identified in a contemporary best practices approach to school psy- chology service delivery to students with severe and low- incidence disabilities. These tactics are specific assess- ment processes, curricula design techniques, and methods of instructional delivery that are used by school psychologists to design interventions that incorporate the strategies discussed previously. </w:t>
      </w:r>
    </w:p>
    <w:p w14:paraId="5791370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0" w:eastAsia="Times New Roman" w:hAnsi="AdvP49810" w:cs="Times New Roman"/>
          <w:sz w:val="22"/>
          <w:szCs w:val="22"/>
        </w:rPr>
        <w:t xml:space="preserve">Assessment. </w:t>
      </w:r>
      <w:r w:rsidRPr="004D7472">
        <w:rPr>
          <w:rFonts w:ascii="AdvP49811" w:eastAsia="Times New Roman" w:hAnsi="AdvP49811" w:cs="Times New Roman"/>
          <w:sz w:val="20"/>
          <w:szCs w:val="20"/>
        </w:rPr>
        <w:t xml:space="preserve">School psychologists responsible for students with severe and low-incidence disabilities are faced with a formidable challenge to provide valid assessments that link to appropriate interventions. Substantial variability exists in the characteristics and skills of these students, and the numbers and kinds of behavioral excesses and deficits are enormous. Students with severe and low-incidence disabilities form an extremely heterogeneous group that is confounded by the interaction of varying postschool environments for which these students are being prepared. These environments vary almost as much as the population itself; therefore, ecologically valid assessment becomes a particularly complex process. </w:t>
      </w:r>
    </w:p>
    <w:p w14:paraId="78F8D8E9"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Traditional school psychology practice for students with severe and low-incidence disabilities typically has focused on administrative assessment designed to determine eligibility for special education services. Such assessments often utilized published standardized IQ tests. Unfortunately, while such tests may be useful in some contexts, their use for populations with severe developmental disabilities is fraught with difficulties owing to the dearth of technically adequate norm- referenced devices standardized on these populations and because many of these instruments contain few items relevant for functional life skills intervention planning. Hence, more comprehensive and valid assessments of functional living skills in a student’s current and probable subsequent environments are critical. The information derived from assessments must be linked directly to specific intervention and program planning. Conducting functional and ecologically valid </w:t>
      </w:r>
    </w:p>
    <w:p w14:paraId="7DA66CE2"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assessments provides the basis for designing educational goals that are relevant to the daily lives of students and that lead to substantive changes in students’ lifestyles, thereby meeting the ‘‘criterion of ultimate functioning’’ (Brown et al., 1976). </w:t>
      </w:r>
    </w:p>
    <w:p w14:paraId="74AC1F3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Fortunately, a technology exists for conducting ecological assessments focused on functional daily living skills that enable a person to demonstrate useful skills in current settings and to make the transition to postschool settings within the community. Ecologically valid assessment also facilitates gathering information about cues and correction procedures that occur naturally, with no planned intervention, in community settings. Regardless of a learner’s present environment or probable subsequent, postschool environment, this approach remains valid because all behaviors examined are identified as important within the particular settings in which the learner interacts. </w:t>
      </w:r>
    </w:p>
    <w:p w14:paraId="0A37AB8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Consistent with the ‘‘criterion of ultimate function- ing’’ is the process of ‘‘person-centered planning’’ (Kincaid, 1996; Brown et al., 2006). The process of person-centered planning focuses on achieving five goals: (a) participation and presence in community life, (b) obtaining and keeping relationships that are fulfilling, (c) being able to express and have choices and preferences in daily life, (d) being able to fill respected roles </w:t>
      </w:r>
      <w:r w:rsidRPr="004D7472">
        <w:rPr>
          <w:rFonts w:ascii="AdvP49811" w:eastAsia="Times New Roman" w:hAnsi="AdvP49811" w:cs="Times New Roman"/>
          <w:sz w:val="20"/>
          <w:szCs w:val="20"/>
        </w:rPr>
        <w:lastRenderedPageBreak/>
        <w:t xml:space="preserve">and live with dignity, and (e) ongoing development of personal competence. Various specific models of person-centered planning are available (see Brown et al., 2006, or Powell-Smith &amp; Vaughn, 2006, for a discussion of these). Those school psychol- ogists with experience or training in a collaborative problem-solving service delivery model will be well equipped to facilitate or participate in the person- centered planning process. </w:t>
      </w:r>
    </w:p>
    <w:p w14:paraId="14BCF6D9"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Finkle, Hanson, and Hostetler (1983) suggested that when working with students with severe disabilities, school psychologists experience discomfort resulting from feelings of uncertainty due to (a) the lack of familiarity with this population and (b) the need for more knowledge and competencies to initiate new evaluative techniques. To avoid focusing on traditional assessments that often result in the student being labeled ‘‘untestable’’ or continuing to meet eligibility requirements, an over reliance on published norm-referenced IQ testing must be abandoned and replaced with an ecologically valid approach that provides information about functional living skills and cues and correction procedures found across a variety of natural environments. Particular assessment and intervention methods that would be incorporated in such an approach are interviews with </w:t>
      </w:r>
    </w:p>
    <w:p w14:paraId="3056A645"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1244 </w:t>
      </w:r>
    </w:p>
    <w:p w14:paraId="07356AD4"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Chapter 76, Volume 4 </w:t>
      </w:r>
    </w:p>
    <w:p w14:paraId="274FFE9D" w14:textId="77367122"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"/var/folders/l7/xsyc8qd571z0x_9_w06b59480000gn/T/com.microsoft.Word/WebArchiveCopyPasteTempFiles/page13image38293056"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3F6B7BA3" wp14:editId="5837FECA">
            <wp:extent cx="5943600" cy="15240"/>
            <wp:effectExtent l="0" t="0" r="0" b="0"/>
            <wp:docPr id="9" name="Picture 9" descr="page13image38293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age13image382930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42E79E55" w14:textId="313F35F4"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"/var/folders/l7/xsyc8qd571z0x_9_w06b59480000gn/T/com.microsoft.Word/WebArchiveCopyPasteTempFiles/page14image38296512"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1972EFB0" wp14:editId="15A68B6B">
            <wp:extent cx="5943600" cy="15240"/>
            <wp:effectExtent l="0" t="0" r="0" b="0"/>
            <wp:docPr id="8" name="Picture 8" descr="page14image3829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age14image382965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4AB1FFCA"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students, parents, and teachers; ecological inventories; questionnaires; direct observation; behavior checklists; functional assessment of life skills; functional behavioral assessment; adaptive behavior rating scales; task analyses; error analyses; general case programming; and direct progress monitoring (Deno &amp; Mirkin, 1977; Horner &amp; Albin, 1988; O’Neill et al., 1997). </w:t>
      </w:r>
    </w:p>
    <w:p w14:paraId="29AECB3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0" w:eastAsia="Times New Roman" w:hAnsi="AdvP49810" w:cs="Times New Roman"/>
          <w:sz w:val="22"/>
          <w:szCs w:val="22"/>
        </w:rPr>
        <w:t xml:space="preserve">Design of curricula and instruction. </w:t>
      </w:r>
      <w:r w:rsidRPr="004D7472">
        <w:rPr>
          <w:rFonts w:ascii="AdvP49811" w:eastAsia="Times New Roman" w:hAnsi="AdvP49811" w:cs="Times New Roman"/>
          <w:sz w:val="20"/>
          <w:szCs w:val="20"/>
        </w:rPr>
        <w:t xml:space="preserve">Interven- tions based on a developmental model no longer are viewed as appropriate for individuals with severe and low-incidence disabilities, yet school psychologists may be unfamiliar with an alternative curriculum focusing on major life skills that are a part of daily routines of typical persons (i.e., persons without disabilities). Rather than recommending such educational tasks for a 16-year-old youth as putting pellets in a small-mouth bottle or pegs in a pegboard, a curricular model emphasizing func- tional living skills along with incorporating choice and preference should be used. Thus, for example, the 16- year-old youth would be taught how to wash and to dry dishes if he or she currently or was likely to work in a kitchen or to live in a home in which meal preparation and cleanup was a daily routine. For a younger child, functional skills also would be taught, but they would vary as a function of the child’s chronological age. </w:t>
      </w:r>
    </w:p>
    <w:p w14:paraId="31B6C6DC"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An urgent need exists for school psychologists to conduct functional assessments of life skills and functional behavioral assessment and then to use this information for transdisciplinary collaboration to design educational programs as well as PBS interventions. Such programs largely will be implemented in realistic, on-site settings, across such domains of functioning as (a) language/communication, (b) social, (c) domestic and daily living, (d) recreational and leisure, (e) community, and (f) academic/vocational. These domains are important because they are highly relevant to inde- pendent living and quality of life. </w:t>
      </w:r>
    </w:p>
    <w:p w14:paraId="4BF7C382"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0" w:eastAsia="Times New Roman" w:hAnsi="AdvP49810" w:cs="Times New Roman"/>
          <w:sz w:val="22"/>
          <w:szCs w:val="22"/>
        </w:rPr>
        <w:t xml:space="preserve">Generalization and maintenance. </w:t>
      </w:r>
      <w:r w:rsidRPr="004D7472">
        <w:rPr>
          <w:rFonts w:ascii="AdvP49811" w:eastAsia="Times New Roman" w:hAnsi="AdvP49811" w:cs="Times New Roman"/>
          <w:sz w:val="20"/>
          <w:szCs w:val="20"/>
        </w:rPr>
        <w:t xml:space="preserve">A majority of special education interventions and training programs have focused on teaching skills not in a student’s behavioral repertoire, increasing appropriate behavior, and/or decreasing inappropriate behavior. Regrettably, these skills often do not generalize or extend the range of student learning beyond those stimuli presented during teaching because a systematic approach to the general- ization of skills to relevant community environments was not taken (Sugai et al., 2000). Hence, less attention has been directed at developing skills in community settings away from schools. Education for students with severe and </w:t>
      </w:r>
    </w:p>
    <w:p w14:paraId="7B14270B"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lastRenderedPageBreak/>
        <w:t xml:space="preserve">low-incidence disabilities, particularly for secondary students for whom transitioning to postschool environ- ments is an important consideration, has moved toward the instruction of functional skills that are performed in a variety of community settings and that can be taught with maximum efficiency (Browder, 2001; Giangreco &amp; Putnam, 1991; Horner, Sprague, &amp; Wilcox, 1982). Because of this shift, a paramount need exists for systematic generalization and maintenance programming. </w:t>
      </w:r>
    </w:p>
    <w:p w14:paraId="4F2AC283"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School psychology services must extend to facilitating program planning that includes teaching generalized responding. To produce lifestyle change, skills must be performed under a variety of stimulus conditions and with a variety of response topographies. That is, students not only must perform a skill but also perform it in the range of situations with the range of variations required by day-to-day life. Efficiency in instruction also indicates the necessity for a generalization technology (Engelmann &amp; Carnine, 1982; Albin &amp; Horner, 1988). Instructional time is limited, and students with severe and low-incidence disabilities typically require more time to learn skills. The demands to teach complex skills that are functional in the community add to the need for efficient instruction focusing on general- ization because it is impossible to teach all examples of a skill under all possible stimulus conditions during training. </w:t>
      </w:r>
    </w:p>
    <w:p w14:paraId="3674FC9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50" w:eastAsia="Times New Roman" w:hAnsi="AdvP6A50" w:cs="Times New Roman"/>
        </w:rPr>
        <w:t xml:space="preserve">SUMMARY </w:t>
      </w:r>
    </w:p>
    <w:p w14:paraId="410C4238"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Best practice service delivery for students with severe and low-incidence disabilities is based upon the principles of normalization, service provision in LRE, and positive behavioral support. Facilitation of this model of service delivery requires assessment that is functional, ongoing, and individually and community referenced rather than norm referenced. The assessment focus is on identifying individual service delivery needs rather than on diag- nostic categorization and placement, as such a hetero- geneous group as students with severe and low-incidence disabilities requires individualized programming. </w:t>
      </w:r>
    </w:p>
    <w:p w14:paraId="0E552BB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It is recommended that educational services be selected and delivered within the framework of a three-tiered problem-solving model. The model presented herein guides school psychologists to focus on identifying and analyzing problems, exploring solutions to problems (prioritizing and utilizing student and parent involvement in goal determination), applying solutions (design of instructional and intervention techniques), evaluating solutions (frequent and direct measurement of procedures and target behaviors to monitor progress and adjust </w:t>
      </w:r>
    </w:p>
    <w:p w14:paraId="747C0A3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Chapter 76, Volume 4 </w:t>
      </w:r>
    </w:p>
    <w:p w14:paraId="55A0B2E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1245 </w:t>
      </w:r>
    </w:p>
    <w:p w14:paraId="10FD0AF0"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B" w:eastAsia="Times New Roman" w:hAnsi="AdvP6A4B" w:cs="Times New Roman"/>
          <w:sz w:val="18"/>
          <w:szCs w:val="18"/>
        </w:rPr>
        <w:t xml:space="preserve">Supporting the Education </w:t>
      </w:r>
    </w:p>
    <w:p w14:paraId="56994EAF" w14:textId="4BD1C172"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"/var/folders/l7/xsyc8qd571z0x_9_w06b59480000gn/T/com.microsoft.Word/WebArchiveCopyPasteTempFiles/page14image38296704"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6961F3C0" wp14:editId="15FDFCA3">
            <wp:extent cx="5943600" cy="15240"/>
            <wp:effectExtent l="0" t="0" r="0" b="0"/>
            <wp:docPr id="7" name="Picture 7" descr="page14image38296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age14image3829670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526C83F0" w14:textId="7E39E801"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"/var/folders/l7/xsyc8qd571z0x_9_w06b59480000gn/T/com.microsoft.Word/WebArchiveCopyPasteTempFiles/page15image38299584"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6DD0EB28" wp14:editId="4C193603">
            <wp:extent cx="5943600" cy="15240"/>
            <wp:effectExtent l="0" t="0" r="0" b="0"/>
            <wp:docPr id="6" name="Picture 6" descr="page15image38299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age15image3829958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280E6B6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B" w:eastAsia="Times New Roman" w:hAnsi="AdvP6A4B" w:cs="Times New Roman"/>
          <w:sz w:val="18"/>
          <w:szCs w:val="18"/>
        </w:rPr>
        <w:t xml:space="preserve">Best Practices in School Psychology V </w:t>
      </w:r>
    </w:p>
    <w:p w14:paraId="4C3B0065"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instruction as needed to facilitate goal attainment), and ultimately arriving at a problem solution. School psychologists are in a prime position to work with others to ensure that such a data-based decision-making model is used within and across intervention tiers. </w:t>
      </w:r>
    </w:p>
    <w:p w14:paraId="0E8B0274"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The role of school psychologists is continuing to change. Given the recommendations and changes to special education services (President’s Commission on Excellence in Special Education, 2002), the problem- solving model is of utmost importance in guiding school psychology service delivery. As numbers of children with more significant disabilities and special educational needs increases along with the greater demand for </w:t>
      </w:r>
      <w:r w:rsidRPr="004D7472">
        <w:rPr>
          <w:rFonts w:ascii="AdvP49811" w:eastAsia="Times New Roman" w:hAnsi="AdvP49811" w:cs="Times New Roman"/>
          <w:sz w:val="20"/>
          <w:szCs w:val="20"/>
        </w:rPr>
        <w:lastRenderedPageBreak/>
        <w:t xml:space="preserve">educating these children in integrated settings, training for edu- cational personnel on how to develop and evaluate interventions addressing these needs is essential. </w:t>
      </w:r>
    </w:p>
    <w:p w14:paraId="05E9D4D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The strategies, processes, and tactics delineated in this chapter are presented as a guide for school psychologists in conducting assessment and developing programming recommendations in consultation with other profes- sionals and parents who are part of the transdisciplinary team. It is believed that by guiding school psychology practice in a direction consistent with the field of severe disabilities will allow for greater opportunities for collaboration and improved services for these students. Ultimately, these changes will yield important edu- cational outcomes for students with severe and low- incidence disabilities. </w:t>
      </w:r>
    </w:p>
    <w:p w14:paraId="7697E904"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50" w:eastAsia="Times New Roman" w:hAnsi="AdvP6A50" w:cs="Times New Roman"/>
        </w:rPr>
        <w:t xml:space="preserve">AUTHOR NOTE </w:t>
      </w:r>
    </w:p>
    <w:p w14:paraId="3CD32A4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20"/>
          <w:szCs w:val="20"/>
        </w:rPr>
        <w:t xml:space="preserve">Preparation of this chapter was supported in part by the U.S. Department of Education Office of Special Edu- cation and Rehabilitative Services grants 008715710, 008730044, and H029F00092-90 to the University of Oregon School Psychology Program. However, the opinions expressed are those of the authors and should not be construed as representing the supporting agency. The authors also wish to acknowledge Carrie Morris, Diane Elizabeth Napier, Jenine Sansosti, and Brandi Tanner, graduate students in the School Psychology Program at the University of South Florida, for their assistance with the references for this manuscript. </w:t>
      </w:r>
    </w:p>
    <w:p w14:paraId="0C09A7F5"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50" w:eastAsia="Times New Roman" w:hAnsi="AdvP6A50" w:cs="Times New Roman"/>
        </w:rPr>
        <w:t xml:space="preserve">REFERENCES </w:t>
      </w:r>
    </w:p>
    <w:p w14:paraId="697D2463"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Albin, R., &amp; Horner, R. H. (1988). Generalization with precision. In R. H. Horner, G. Dunlap, &amp; R. L. Koegel (Eds.), </w:t>
      </w:r>
      <w:r w:rsidRPr="004D7472">
        <w:rPr>
          <w:rFonts w:ascii="AdvP49812" w:eastAsia="Times New Roman" w:hAnsi="AdvP49812" w:cs="Times New Roman"/>
          <w:sz w:val="16"/>
          <w:szCs w:val="16"/>
        </w:rPr>
        <w:t xml:space="preserve">Generalization and maintenance: Lifestyle changes in applied settings </w:t>
      </w:r>
      <w:r w:rsidRPr="004D7472">
        <w:rPr>
          <w:rFonts w:ascii="AdvP49811" w:eastAsia="Times New Roman" w:hAnsi="AdvP49811" w:cs="Times New Roman"/>
          <w:sz w:val="16"/>
          <w:szCs w:val="16"/>
        </w:rPr>
        <w:t xml:space="preserve">(pp. 99–120). Baltimore: Brookes. </w:t>
      </w:r>
    </w:p>
    <w:p w14:paraId="00E9E7A0"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Albin, R., McDonnell, J. J., &amp; Wilcox, B. (1987). </w:t>
      </w:r>
      <w:r w:rsidRPr="004D7472">
        <w:rPr>
          <w:rFonts w:ascii="AdvP49812" w:eastAsia="Times New Roman" w:hAnsi="AdvP49812" w:cs="Times New Roman"/>
          <w:sz w:val="16"/>
          <w:szCs w:val="16"/>
        </w:rPr>
        <w:t>A comprehensive guide to the Activities Catalog: An alternative curriculum for youth and adults with severe disabilities</w:t>
      </w:r>
      <w:r w:rsidRPr="004D7472">
        <w:rPr>
          <w:rFonts w:ascii="AdvP49811" w:eastAsia="Times New Roman" w:hAnsi="AdvP49811" w:cs="Times New Roman"/>
          <w:sz w:val="16"/>
          <w:szCs w:val="16"/>
        </w:rPr>
        <w:t xml:space="preserve">. Baltimore: Brookes. </w:t>
      </w:r>
    </w:p>
    <w:p w14:paraId="286789B1"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Baumgart, D., Brown, L., Pumpian, I., Nisbet, J., Ford, A., Sweet, M., et al. (1982). Principle of partial participation and individua- lized adaptations in educational programs for severely han- dicapped students. </w:t>
      </w:r>
      <w:r w:rsidRPr="004D7472">
        <w:rPr>
          <w:rFonts w:ascii="AdvP49812" w:eastAsia="Times New Roman" w:hAnsi="AdvP49812" w:cs="Times New Roman"/>
          <w:sz w:val="16"/>
          <w:szCs w:val="16"/>
        </w:rPr>
        <w:t>Journal of the Association for the Severely Handicapped</w:t>
      </w:r>
      <w:r w:rsidRPr="004D7472">
        <w:rPr>
          <w:rFonts w:ascii="AdvP49811" w:eastAsia="Times New Roman" w:hAnsi="AdvP49811" w:cs="Times New Roman"/>
          <w:sz w:val="16"/>
          <w:szCs w:val="16"/>
        </w:rPr>
        <w:t xml:space="preserve">, </w:t>
      </w:r>
      <w:r w:rsidRPr="004D7472">
        <w:rPr>
          <w:rFonts w:ascii="AdvP49812" w:eastAsia="Times New Roman" w:hAnsi="AdvP49812" w:cs="Times New Roman"/>
          <w:sz w:val="16"/>
          <w:szCs w:val="16"/>
        </w:rPr>
        <w:t>7</w:t>
      </w:r>
      <w:r w:rsidRPr="004D7472">
        <w:rPr>
          <w:rFonts w:ascii="AdvP49811" w:eastAsia="Times New Roman" w:hAnsi="AdvP49811" w:cs="Times New Roman"/>
          <w:sz w:val="16"/>
          <w:szCs w:val="16"/>
        </w:rPr>
        <w:t xml:space="preserve">, 17–27. </w:t>
      </w:r>
    </w:p>
    <w:p w14:paraId="271A175B"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Berg, W. K., Wacker, D. P., &amp; Steege, M. W. (1995). Best practices in assessment with persons who have severe or profound handicaps. In A. Thomas &amp; J. Grimes (Eds.), </w:t>
      </w:r>
      <w:r w:rsidRPr="004D7472">
        <w:rPr>
          <w:rFonts w:ascii="AdvP49812" w:eastAsia="Times New Roman" w:hAnsi="AdvP49812" w:cs="Times New Roman"/>
          <w:sz w:val="16"/>
          <w:szCs w:val="16"/>
        </w:rPr>
        <w:t xml:space="preserve">Best practices in school psychology III </w:t>
      </w:r>
      <w:r w:rsidRPr="004D7472">
        <w:rPr>
          <w:rFonts w:ascii="AdvP49811" w:eastAsia="Times New Roman" w:hAnsi="AdvP49811" w:cs="Times New Roman"/>
          <w:sz w:val="16"/>
          <w:szCs w:val="16"/>
        </w:rPr>
        <w:t xml:space="preserve">(pp. 805– 816). Washington, DC: National Association of School Psychologists. </w:t>
      </w:r>
    </w:p>
    <w:p w14:paraId="2EFECB0C"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Brinker, R. P. (1985). Interactions between severely mentally retarded students and other students in integrated and segregated public school settings. </w:t>
      </w:r>
      <w:r w:rsidRPr="004D7472">
        <w:rPr>
          <w:rFonts w:ascii="AdvP49812" w:eastAsia="Times New Roman" w:hAnsi="AdvP49812" w:cs="Times New Roman"/>
          <w:sz w:val="16"/>
          <w:szCs w:val="16"/>
        </w:rPr>
        <w:t>American Journal of Mental Deficiency</w:t>
      </w:r>
      <w:r w:rsidRPr="004D7472">
        <w:rPr>
          <w:rFonts w:ascii="AdvP49811" w:eastAsia="Times New Roman" w:hAnsi="AdvP49811" w:cs="Times New Roman"/>
          <w:sz w:val="16"/>
          <w:szCs w:val="16"/>
        </w:rPr>
        <w:t xml:space="preserve">, </w:t>
      </w:r>
      <w:r w:rsidRPr="004D7472">
        <w:rPr>
          <w:rFonts w:ascii="AdvP49812" w:eastAsia="Times New Roman" w:hAnsi="AdvP49812" w:cs="Times New Roman"/>
          <w:sz w:val="16"/>
          <w:szCs w:val="16"/>
        </w:rPr>
        <w:t>89</w:t>
      </w:r>
      <w:r w:rsidRPr="004D7472">
        <w:rPr>
          <w:rFonts w:ascii="AdvP49811" w:eastAsia="Times New Roman" w:hAnsi="AdvP49811" w:cs="Times New Roman"/>
          <w:sz w:val="16"/>
          <w:szCs w:val="16"/>
        </w:rPr>
        <w:t xml:space="preserve">, 587–594. </w:t>
      </w:r>
    </w:p>
    <w:p w14:paraId="7FC06A6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Browder, D. (1991). </w:t>
      </w:r>
      <w:r w:rsidRPr="004D7472">
        <w:rPr>
          <w:rFonts w:ascii="AdvP49812" w:eastAsia="Times New Roman" w:hAnsi="AdvP49812" w:cs="Times New Roman"/>
          <w:sz w:val="16"/>
          <w:szCs w:val="16"/>
        </w:rPr>
        <w:t xml:space="preserve">Assessment of individuals with severe disabilities: An applied behavior approach to life skills assessment </w:t>
      </w:r>
      <w:r w:rsidRPr="004D7472">
        <w:rPr>
          <w:rFonts w:ascii="AdvP49811" w:eastAsia="Times New Roman" w:hAnsi="AdvP49811" w:cs="Times New Roman"/>
          <w:sz w:val="16"/>
          <w:szCs w:val="16"/>
        </w:rPr>
        <w:t xml:space="preserve">(2nd ed.). Baltimore: Brookes. </w:t>
      </w:r>
    </w:p>
    <w:p w14:paraId="13BEEE3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Browder, D. (2001). </w:t>
      </w:r>
      <w:r w:rsidRPr="004D7472">
        <w:rPr>
          <w:rFonts w:ascii="AdvP49812" w:eastAsia="Times New Roman" w:hAnsi="AdvP49812" w:cs="Times New Roman"/>
          <w:sz w:val="16"/>
          <w:szCs w:val="16"/>
        </w:rPr>
        <w:t>Curriculum and assessment for students with moderate and severe disabilities</w:t>
      </w:r>
      <w:r w:rsidRPr="004D7472">
        <w:rPr>
          <w:rFonts w:ascii="AdvP49811" w:eastAsia="Times New Roman" w:hAnsi="AdvP49811" w:cs="Times New Roman"/>
          <w:sz w:val="16"/>
          <w:szCs w:val="16"/>
        </w:rPr>
        <w:t xml:space="preserve">. New York: Guilford Press. </w:t>
      </w:r>
    </w:p>
    <w:p w14:paraId="1EC5685C"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Browder, D. M., &amp; Snell, M. E. (1988). Assessment of individuals with severe handicaps. In E. S. Shapiro &amp; T. R. Kratochwill (Eds.), </w:t>
      </w:r>
      <w:r w:rsidRPr="004D7472">
        <w:rPr>
          <w:rFonts w:ascii="AdvP49812" w:eastAsia="Times New Roman" w:hAnsi="AdvP49812" w:cs="Times New Roman"/>
          <w:sz w:val="16"/>
          <w:szCs w:val="16"/>
        </w:rPr>
        <w:t xml:space="preserve">Behavioral assessment in schools: Conceptual foundations and practical applications </w:t>
      </w:r>
      <w:r w:rsidRPr="004D7472">
        <w:rPr>
          <w:rFonts w:ascii="AdvP49811" w:eastAsia="Times New Roman" w:hAnsi="AdvP49811" w:cs="Times New Roman"/>
          <w:sz w:val="16"/>
          <w:szCs w:val="16"/>
        </w:rPr>
        <w:t xml:space="preserve">(pp. 121–160). Baltimore: Brookes. </w:t>
      </w:r>
    </w:p>
    <w:p w14:paraId="164143A0"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Brown, F. (1987). Meaningful assessment of people with severe and profound handicaps. In M. E. Snell (Ed.), </w:t>
      </w:r>
      <w:r w:rsidRPr="004D7472">
        <w:rPr>
          <w:rFonts w:ascii="AdvP49812" w:eastAsia="Times New Roman" w:hAnsi="AdvP49812" w:cs="Times New Roman"/>
          <w:sz w:val="16"/>
          <w:szCs w:val="16"/>
        </w:rPr>
        <w:t xml:space="preserve">Systematic instruction of students with severe handicaps </w:t>
      </w:r>
      <w:r w:rsidRPr="004D7472">
        <w:rPr>
          <w:rFonts w:ascii="AdvP49811" w:eastAsia="Times New Roman" w:hAnsi="AdvP49811" w:cs="Times New Roman"/>
          <w:sz w:val="16"/>
          <w:szCs w:val="16"/>
        </w:rPr>
        <w:t xml:space="preserve">(pp. 39–63). Columbus, OH: Merrill. </w:t>
      </w:r>
    </w:p>
    <w:p w14:paraId="60CC1F6C"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Brown, F., Snell, M. E., &amp; Lehr, D. (2006). Meaningful assessment. In M. E. Snell &amp; F. Brown (Eds.), </w:t>
      </w:r>
      <w:r w:rsidRPr="004D7472">
        <w:rPr>
          <w:rFonts w:ascii="AdvP49812" w:eastAsia="Times New Roman" w:hAnsi="AdvP49812" w:cs="Times New Roman"/>
          <w:sz w:val="16"/>
          <w:szCs w:val="16"/>
        </w:rPr>
        <w:t xml:space="preserve">Instruction of students with severe disabilities </w:t>
      </w:r>
      <w:r w:rsidRPr="004D7472">
        <w:rPr>
          <w:rFonts w:ascii="AdvP49811" w:eastAsia="Times New Roman" w:hAnsi="AdvP49811" w:cs="Times New Roman"/>
          <w:sz w:val="16"/>
          <w:szCs w:val="16"/>
        </w:rPr>
        <w:t xml:space="preserve">(6th ed., pp. 67–110). Columbus, OH: Pearson. </w:t>
      </w:r>
    </w:p>
    <w:p w14:paraId="11DE6B52"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Brown, L., Nietupski, J., &amp; Hamre-Nietupski, S. (1976). The criterion of ultimate functioning and public school services for severely handicapped children. In M. A. Thomas (Ed.), </w:t>
      </w:r>
      <w:r w:rsidRPr="004D7472">
        <w:rPr>
          <w:rFonts w:ascii="AdvP49812" w:eastAsia="Times New Roman" w:hAnsi="AdvP49812" w:cs="Times New Roman"/>
          <w:sz w:val="16"/>
          <w:szCs w:val="16"/>
        </w:rPr>
        <w:t xml:space="preserve">Hey, don’t forget about me: New directions for serving the severely handicapped. </w:t>
      </w:r>
      <w:r w:rsidRPr="004D7472">
        <w:rPr>
          <w:rFonts w:ascii="AdvP49811" w:eastAsia="Times New Roman" w:hAnsi="AdvP49811" w:cs="Times New Roman"/>
          <w:sz w:val="16"/>
          <w:szCs w:val="16"/>
        </w:rPr>
        <w:t xml:space="preserve">(pp. 2–15). Reston, VA: The Council for Exceptional Children. </w:t>
      </w:r>
    </w:p>
    <w:p w14:paraId="1CC7F0A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lastRenderedPageBreak/>
        <w:t xml:space="preserve">Campbell, D. T. (1988). The experimenting society. In S. Overman (Ed.), </w:t>
      </w:r>
      <w:r w:rsidRPr="004D7472">
        <w:rPr>
          <w:rFonts w:ascii="AdvP49812" w:eastAsia="Times New Roman" w:hAnsi="AdvP49812" w:cs="Times New Roman"/>
          <w:sz w:val="16"/>
          <w:szCs w:val="16"/>
        </w:rPr>
        <w:t xml:space="preserve">Methodology and epistemology for social science </w:t>
      </w:r>
      <w:r w:rsidRPr="004D7472">
        <w:rPr>
          <w:rFonts w:ascii="AdvP49811" w:eastAsia="Times New Roman" w:hAnsi="AdvP49811" w:cs="Times New Roman"/>
          <w:sz w:val="16"/>
          <w:szCs w:val="16"/>
        </w:rPr>
        <w:t xml:space="preserve">(pp. 290–314). Chicago: University of Chicago Press. </w:t>
      </w:r>
    </w:p>
    <w:p w14:paraId="3D67CB33"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Carr, J. E., Horner, R. H., Turnbull, A. P., Marquis, J. G., McLaughlin, D. M., McAtee, M. L., et al. (1999). </w:t>
      </w:r>
      <w:r w:rsidRPr="004D7472">
        <w:rPr>
          <w:rFonts w:ascii="AdvP49812" w:eastAsia="Times New Roman" w:hAnsi="AdvP49812" w:cs="Times New Roman"/>
          <w:sz w:val="16"/>
          <w:szCs w:val="16"/>
        </w:rPr>
        <w:t>Positive behavior support for people with developmental disabilities: A research synthesis</w:t>
      </w:r>
      <w:r w:rsidRPr="004D7472">
        <w:rPr>
          <w:rFonts w:ascii="AdvP49811" w:eastAsia="Times New Roman" w:hAnsi="AdvP49811" w:cs="Times New Roman"/>
          <w:sz w:val="16"/>
          <w:szCs w:val="16"/>
        </w:rPr>
        <w:t xml:space="preserve">. Washington, DC: American Association on Mental Retardation. </w:t>
      </w:r>
    </w:p>
    <w:p w14:paraId="51EB348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Carr, J. E., &amp; Sidener, T. M. (2002). In response: On the relation between applied behavior analysis and positive behavioral support. </w:t>
      </w:r>
      <w:r w:rsidRPr="004D7472">
        <w:rPr>
          <w:rFonts w:ascii="AdvP49812" w:eastAsia="Times New Roman" w:hAnsi="AdvP49812" w:cs="Times New Roman"/>
          <w:sz w:val="16"/>
          <w:szCs w:val="16"/>
        </w:rPr>
        <w:t>The Behavior Analyst</w:t>
      </w:r>
      <w:r w:rsidRPr="004D7472">
        <w:rPr>
          <w:rFonts w:ascii="AdvP49811" w:eastAsia="Times New Roman" w:hAnsi="AdvP49811" w:cs="Times New Roman"/>
          <w:sz w:val="16"/>
          <w:szCs w:val="16"/>
        </w:rPr>
        <w:t xml:space="preserve">, </w:t>
      </w:r>
      <w:r w:rsidRPr="004D7472">
        <w:rPr>
          <w:rFonts w:ascii="AdvP49812" w:eastAsia="Times New Roman" w:hAnsi="AdvP49812" w:cs="Times New Roman"/>
          <w:sz w:val="16"/>
          <w:szCs w:val="16"/>
        </w:rPr>
        <w:t>25</w:t>
      </w:r>
      <w:r w:rsidRPr="004D7472">
        <w:rPr>
          <w:rFonts w:ascii="AdvP49811" w:eastAsia="Times New Roman" w:hAnsi="AdvP49811" w:cs="Times New Roman"/>
          <w:sz w:val="16"/>
          <w:szCs w:val="16"/>
        </w:rPr>
        <w:t xml:space="preserve">, 245–253. </w:t>
      </w:r>
    </w:p>
    <w:p w14:paraId="474AE015"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Cohen, M., Gross, P., &amp; Haring, N. G. (1976). Developmental pinpoints. In N. G. Haring &amp; L. J. Brown (Eds.), </w:t>
      </w:r>
      <w:r w:rsidRPr="004D7472">
        <w:rPr>
          <w:rFonts w:ascii="AdvP49812" w:eastAsia="Times New Roman" w:hAnsi="AdvP49812" w:cs="Times New Roman"/>
          <w:sz w:val="16"/>
          <w:szCs w:val="16"/>
        </w:rPr>
        <w:t xml:space="preserve">Teaching the severely handicapped </w:t>
      </w:r>
      <w:r w:rsidRPr="004D7472">
        <w:rPr>
          <w:rFonts w:ascii="AdvP49811" w:eastAsia="Times New Roman" w:hAnsi="AdvP49811" w:cs="Times New Roman"/>
          <w:sz w:val="16"/>
          <w:szCs w:val="16"/>
        </w:rPr>
        <w:t xml:space="preserve">(vol. 1, pp. 35–110). New York: Grune &amp; Stratton. </w:t>
      </w:r>
    </w:p>
    <w:p w14:paraId="1E835295"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Cole, C. L., &amp; Shapiro, E. S. (2005). Perceptions of trainers and practitioners regarding assessment and intervention for students with low-incidence disabilities. </w:t>
      </w:r>
      <w:r w:rsidRPr="004D7472">
        <w:rPr>
          <w:rFonts w:ascii="AdvP49812" w:eastAsia="Times New Roman" w:hAnsi="AdvP49812" w:cs="Times New Roman"/>
          <w:sz w:val="16"/>
          <w:szCs w:val="16"/>
        </w:rPr>
        <w:t>Psychology in the Schools</w:t>
      </w:r>
      <w:r w:rsidRPr="004D7472">
        <w:rPr>
          <w:rFonts w:ascii="AdvP49811" w:eastAsia="Times New Roman" w:hAnsi="AdvP49811" w:cs="Times New Roman"/>
          <w:sz w:val="16"/>
          <w:szCs w:val="16"/>
        </w:rPr>
        <w:t xml:space="preserve">, </w:t>
      </w:r>
      <w:r w:rsidRPr="004D7472">
        <w:rPr>
          <w:rFonts w:ascii="AdvP49812" w:eastAsia="Times New Roman" w:hAnsi="AdvP49812" w:cs="Times New Roman"/>
          <w:sz w:val="16"/>
          <w:szCs w:val="16"/>
        </w:rPr>
        <w:t>42</w:t>
      </w:r>
      <w:r w:rsidRPr="004D7472">
        <w:rPr>
          <w:rFonts w:ascii="AdvP49811" w:eastAsia="Times New Roman" w:hAnsi="AdvP49811" w:cs="Times New Roman"/>
          <w:sz w:val="16"/>
          <w:szCs w:val="16"/>
        </w:rPr>
        <w:t xml:space="preserve">, 677–689. </w:t>
      </w:r>
    </w:p>
    <w:p w14:paraId="2F03E683"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1246 </w:t>
      </w:r>
    </w:p>
    <w:p w14:paraId="43AEF4E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Chapter 76, Volume 4 </w:t>
      </w:r>
    </w:p>
    <w:p w14:paraId="29F5F612" w14:textId="71F09787"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"/var/folders/l7/xsyc8qd571z0x_9_w06b59480000gn/T/com.microsoft.Word/WebArchiveCopyPasteTempFiles/page15image38708800"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02DA58A4" wp14:editId="74C98497">
            <wp:extent cx="5943600" cy="15240"/>
            <wp:effectExtent l="0" t="0" r="0" b="0"/>
            <wp:docPr id="5" name="Picture 5" descr="page15image38708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age15image387088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5BEDD433" w14:textId="2EAC0E85"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"/var/folders/l7/xsyc8qd571z0x_9_w06b59480000gn/T/com.microsoft.Word/WebArchiveCopyPasteTempFiles/page16image38323904"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0D874FD7" wp14:editId="28B7CFCF">
            <wp:extent cx="5943600" cy="15240"/>
            <wp:effectExtent l="0" t="0" r="0" b="0"/>
            <wp:docPr id="4" name="Picture 4" descr="page16image38323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page16image3832390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4DF28331"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Deno, S. L. (1986). Formative evaluation of individual student programs: A new role for school psychologists. </w:t>
      </w:r>
      <w:r w:rsidRPr="004D7472">
        <w:rPr>
          <w:rFonts w:ascii="AdvP49812" w:eastAsia="Times New Roman" w:hAnsi="AdvP49812" w:cs="Times New Roman"/>
          <w:sz w:val="16"/>
          <w:szCs w:val="16"/>
        </w:rPr>
        <w:t>School Psychology Review</w:t>
      </w:r>
      <w:r w:rsidRPr="004D7472">
        <w:rPr>
          <w:rFonts w:ascii="AdvP49811" w:eastAsia="Times New Roman" w:hAnsi="AdvP49811" w:cs="Times New Roman"/>
          <w:sz w:val="16"/>
          <w:szCs w:val="16"/>
        </w:rPr>
        <w:t xml:space="preserve">, </w:t>
      </w:r>
      <w:r w:rsidRPr="004D7472">
        <w:rPr>
          <w:rFonts w:ascii="AdvP49812" w:eastAsia="Times New Roman" w:hAnsi="AdvP49812" w:cs="Times New Roman"/>
          <w:sz w:val="16"/>
          <w:szCs w:val="16"/>
        </w:rPr>
        <w:t>15</w:t>
      </w:r>
      <w:r w:rsidRPr="004D7472">
        <w:rPr>
          <w:rFonts w:ascii="AdvP49811" w:eastAsia="Times New Roman" w:hAnsi="AdvP49811" w:cs="Times New Roman"/>
          <w:sz w:val="16"/>
          <w:szCs w:val="16"/>
        </w:rPr>
        <w:t xml:space="preserve">, 358–374. </w:t>
      </w:r>
    </w:p>
    <w:p w14:paraId="6B9FC065"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Deno, S. L. (1989). Curriculum-based measurement and special education services: A fundamental and direct relationship. In M. R. Shinn (Ed.), </w:t>
      </w:r>
      <w:r w:rsidRPr="004D7472">
        <w:rPr>
          <w:rFonts w:ascii="AdvP49812" w:eastAsia="Times New Roman" w:hAnsi="AdvP49812" w:cs="Times New Roman"/>
          <w:sz w:val="16"/>
          <w:szCs w:val="16"/>
        </w:rPr>
        <w:t xml:space="preserve">Curriculum-based measurement: Assessing special children </w:t>
      </w:r>
      <w:r w:rsidRPr="004D7472">
        <w:rPr>
          <w:rFonts w:ascii="AdvP49811" w:eastAsia="Times New Roman" w:hAnsi="AdvP49811" w:cs="Times New Roman"/>
          <w:sz w:val="16"/>
          <w:szCs w:val="16"/>
        </w:rPr>
        <w:t xml:space="preserve">(pp. 1–17). New York: Guilford Press. </w:t>
      </w:r>
    </w:p>
    <w:p w14:paraId="6AA4DB79"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Deno, S. L., &amp; Mirkin, M. A. (1977). </w:t>
      </w:r>
      <w:r w:rsidRPr="004D7472">
        <w:rPr>
          <w:rFonts w:ascii="AdvP49812" w:eastAsia="Times New Roman" w:hAnsi="AdvP49812" w:cs="Times New Roman"/>
          <w:sz w:val="16"/>
          <w:szCs w:val="16"/>
        </w:rPr>
        <w:t>Data-based program modification: A manual</w:t>
      </w:r>
      <w:r w:rsidRPr="004D7472">
        <w:rPr>
          <w:rFonts w:ascii="AdvP49811" w:eastAsia="Times New Roman" w:hAnsi="AdvP49811" w:cs="Times New Roman"/>
          <w:sz w:val="16"/>
          <w:szCs w:val="16"/>
        </w:rPr>
        <w:t xml:space="preserve">. Reston, VA: The Council for Exceptional Children. </w:t>
      </w:r>
    </w:p>
    <w:p w14:paraId="5184A9AA"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Donnellan, A. M. (1984). The criterion of the least dangerous assumption. </w:t>
      </w:r>
      <w:r w:rsidRPr="004D7472">
        <w:rPr>
          <w:rFonts w:ascii="AdvP49812" w:eastAsia="Times New Roman" w:hAnsi="AdvP49812" w:cs="Times New Roman"/>
          <w:sz w:val="16"/>
          <w:szCs w:val="16"/>
        </w:rPr>
        <w:t>Behavioral Disorders</w:t>
      </w:r>
      <w:r w:rsidRPr="004D7472">
        <w:rPr>
          <w:rFonts w:ascii="AdvP49811" w:eastAsia="Times New Roman" w:hAnsi="AdvP49811" w:cs="Times New Roman"/>
          <w:sz w:val="16"/>
          <w:szCs w:val="16"/>
        </w:rPr>
        <w:t xml:space="preserve">, </w:t>
      </w:r>
      <w:r w:rsidRPr="004D7472">
        <w:rPr>
          <w:rFonts w:ascii="AdvP49812" w:eastAsia="Times New Roman" w:hAnsi="AdvP49812" w:cs="Times New Roman"/>
          <w:sz w:val="16"/>
          <w:szCs w:val="16"/>
        </w:rPr>
        <w:t>9</w:t>
      </w:r>
      <w:r w:rsidRPr="004D7472">
        <w:rPr>
          <w:rFonts w:ascii="AdvP49811" w:eastAsia="Times New Roman" w:hAnsi="AdvP49811" w:cs="Times New Roman"/>
          <w:sz w:val="16"/>
          <w:szCs w:val="16"/>
        </w:rPr>
        <w:t xml:space="preserve">, 141–150. </w:t>
      </w:r>
    </w:p>
    <w:p w14:paraId="696DD07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Durand, V. M., &amp; Carr, E. G. (1985). Self-injurious behavior: Motivating conditions and guidelines for treatment. </w:t>
      </w:r>
      <w:r w:rsidRPr="004D7472">
        <w:rPr>
          <w:rFonts w:ascii="AdvP49812" w:eastAsia="Times New Roman" w:hAnsi="AdvP49812" w:cs="Times New Roman"/>
          <w:sz w:val="16"/>
          <w:szCs w:val="16"/>
        </w:rPr>
        <w:t>School Psychology Review</w:t>
      </w:r>
      <w:r w:rsidRPr="004D7472">
        <w:rPr>
          <w:rFonts w:ascii="AdvP49811" w:eastAsia="Times New Roman" w:hAnsi="AdvP49811" w:cs="Times New Roman"/>
          <w:sz w:val="16"/>
          <w:szCs w:val="16"/>
        </w:rPr>
        <w:t xml:space="preserve">, </w:t>
      </w:r>
      <w:r w:rsidRPr="004D7472">
        <w:rPr>
          <w:rFonts w:ascii="AdvP49812" w:eastAsia="Times New Roman" w:hAnsi="AdvP49812" w:cs="Times New Roman"/>
          <w:sz w:val="16"/>
          <w:szCs w:val="16"/>
        </w:rPr>
        <w:t>14</w:t>
      </w:r>
      <w:r w:rsidRPr="004D7472">
        <w:rPr>
          <w:rFonts w:ascii="AdvP49811" w:eastAsia="Times New Roman" w:hAnsi="AdvP49811" w:cs="Times New Roman"/>
          <w:sz w:val="16"/>
          <w:szCs w:val="16"/>
        </w:rPr>
        <w:t xml:space="preserve">, 171–176. </w:t>
      </w:r>
    </w:p>
    <w:p w14:paraId="34E48E00"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Engelmann, S., &amp; Carnine, D. (1982). </w:t>
      </w:r>
      <w:r w:rsidRPr="004D7472">
        <w:rPr>
          <w:rFonts w:ascii="AdvP49812" w:eastAsia="Times New Roman" w:hAnsi="AdvP49812" w:cs="Times New Roman"/>
          <w:sz w:val="16"/>
          <w:szCs w:val="16"/>
        </w:rPr>
        <w:t>Theory of instruction: Principles and applications</w:t>
      </w:r>
      <w:r w:rsidRPr="004D7472">
        <w:rPr>
          <w:rFonts w:ascii="AdvP49811" w:eastAsia="Times New Roman" w:hAnsi="AdvP49811" w:cs="Times New Roman"/>
          <w:sz w:val="16"/>
          <w:szCs w:val="16"/>
        </w:rPr>
        <w:t xml:space="preserve">. New York: Irvington. </w:t>
      </w:r>
    </w:p>
    <w:p w14:paraId="3F286520"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Evans, I. M., Brown, F. A., Weed, K. A., Spry, K. M., &amp; Owen, V. (1987). The assessment of functional competencies: A behavioral approach to the evaluation of programs for children with disabilities. In R. J. Prinz (Ed.), </w:t>
      </w:r>
      <w:r w:rsidRPr="004D7472">
        <w:rPr>
          <w:rFonts w:ascii="AdvP49812" w:eastAsia="Times New Roman" w:hAnsi="AdvP49812" w:cs="Times New Roman"/>
          <w:sz w:val="16"/>
          <w:szCs w:val="16"/>
        </w:rPr>
        <w:t xml:space="preserve">Advances in behavioral assessment of children and families </w:t>
      </w:r>
      <w:r w:rsidRPr="004D7472">
        <w:rPr>
          <w:rFonts w:ascii="AdvP49811" w:eastAsia="Times New Roman" w:hAnsi="AdvP49811" w:cs="Times New Roman"/>
          <w:sz w:val="16"/>
          <w:szCs w:val="16"/>
        </w:rPr>
        <w:t xml:space="preserve">(vol. 3, pp. 93–121). Greenwich, CT: JAI Press. </w:t>
      </w:r>
    </w:p>
    <w:p w14:paraId="0BBC4F4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Fagan, T. K., &amp; Wise, P. S. (2000). </w:t>
      </w:r>
      <w:r w:rsidRPr="004D7472">
        <w:rPr>
          <w:rFonts w:ascii="AdvP49812" w:eastAsia="Times New Roman" w:hAnsi="AdvP49812" w:cs="Times New Roman"/>
          <w:sz w:val="16"/>
          <w:szCs w:val="16"/>
        </w:rPr>
        <w:t xml:space="preserve">School psychology: Past, present, and future </w:t>
      </w:r>
      <w:r w:rsidRPr="004D7472">
        <w:rPr>
          <w:rFonts w:ascii="AdvP49811" w:eastAsia="Times New Roman" w:hAnsi="AdvP49811" w:cs="Times New Roman"/>
          <w:sz w:val="16"/>
          <w:szCs w:val="16"/>
        </w:rPr>
        <w:t xml:space="preserve">(2nd ed.). Bethesda, MD: National Association of School Psychologists. </w:t>
      </w:r>
    </w:p>
    <w:p w14:paraId="5239F151"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Falvey, M. A. (1986). </w:t>
      </w:r>
      <w:r w:rsidRPr="004D7472">
        <w:rPr>
          <w:rFonts w:ascii="AdvP49812" w:eastAsia="Times New Roman" w:hAnsi="AdvP49812" w:cs="Times New Roman"/>
          <w:sz w:val="16"/>
          <w:szCs w:val="16"/>
        </w:rPr>
        <w:t>Community-based curriculum: Instructional strategies for students with severe handicaps</w:t>
      </w:r>
      <w:r w:rsidRPr="004D7472">
        <w:rPr>
          <w:rFonts w:ascii="AdvP49811" w:eastAsia="Times New Roman" w:hAnsi="AdvP49811" w:cs="Times New Roman"/>
          <w:sz w:val="16"/>
          <w:szCs w:val="16"/>
        </w:rPr>
        <w:t xml:space="preserve">. Baltimore: Brookes. </w:t>
      </w:r>
    </w:p>
    <w:p w14:paraId="13EB95C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Ferguson, D. L., &amp; Baumgart, D. (1991). Partial participation revisited. </w:t>
      </w:r>
      <w:r w:rsidRPr="004D7472">
        <w:rPr>
          <w:rFonts w:ascii="AdvP49812" w:eastAsia="Times New Roman" w:hAnsi="AdvP49812" w:cs="Times New Roman"/>
          <w:sz w:val="16"/>
          <w:szCs w:val="16"/>
        </w:rPr>
        <w:t>Journal of the Association for Persons With Severe Handicaps</w:t>
      </w:r>
      <w:r w:rsidRPr="004D7472">
        <w:rPr>
          <w:rFonts w:ascii="AdvP49811" w:eastAsia="Times New Roman" w:hAnsi="AdvP49811" w:cs="Times New Roman"/>
          <w:sz w:val="16"/>
          <w:szCs w:val="16"/>
        </w:rPr>
        <w:t xml:space="preserve">, </w:t>
      </w:r>
      <w:r w:rsidRPr="004D7472">
        <w:rPr>
          <w:rFonts w:ascii="AdvP49812" w:eastAsia="Times New Roman" w:hAnsi="AdvP49812" w:cs="Times New Roman"/>
          <w:sz w:val="16"/>
          <w:szCs w:val="16"/>
        </w:rPr>
        <w:t>16</w:t>
      </w:r>
      <w:r w:rsidRPr="004D7472">
        <w:rPr>
          <w:rFonts w:ascii="AdvP49811" w:eastAsia="Times New Roman" w:hAnsi="AdvP49811" w:cs="Times New Roman"/>
          <w:sz w:val="16"/>
          <w:szCs w:val="16"/>
        </w:rPr>
        <w:t xml:space="preserve">, 218–227. </w:t>
      </w:r>
    </w:p>
    <w:p w14:paraId="4FDED075"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Finkle, L. J., Hanson, D. P., &amp; Hostetler, S. K. (1983). The assessment of profoundly handicapped children. </w:t>
      </w:r>
      <w:r w:rsidRPr="004D7472">
        <w:rPr>
          <w:rFonts w:ascii="AdvP49812" w:eastAsia="Times New Roman" w:hAnsi="AdvP49812" w:cs="Times New Roman"/>
          <w:sz w:val="16"/>
          <w:szCs w:val="16"/>
        </w:rPr>
        <w:t>School Psychology Review</w:t>
      </w:r>
      <w:r w:rsidRPr="004D7472">
        <w:rPr>
          <w:rFonts w:ascii="AdvP49811" w:eastAsia="Times New Roman" w:hAnsi="AdvP49811" w:cs="Times New Roman"/>
          <w:sz w:val="16"/>
          <w:szCs w:val="16"/>
        </w:rPr>
        <w:t xml:space="preserve">, </w:t>
      </w:r>
      <w:r w:rsidRPr="004D7472">
        <w:rPr>
          <w:rFonts w:ascii="AdvP49812" w:eastAsia="Times New Roman" w:hAnsi="AdvP49812" w:cs="Times New Roman"/>
          <w:sz w:val="16"/>
          <w:szCs w:val="16"/>
        </w:rPr>
        <w:t>12</w:t>
      </w:r>
      <w:r w:rsidRPr="004D7472">
        <w:rPr>
          <w:rFonts w:ascii="AdvP49811" w:eastAsia="Times New Roman" w:hAnsi="AdvP49811" w:cs="Times New Roman"/>
          <w:sz w:val="16"/>
          <w:szCs w:val="16"/>
        </w:rPr>
        <w:t xml:space="preserve">, 75–81. </w:t>
      </w:r>
    </w:p>
    <w:p w14:paraId="31F0036E"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Fredricks, H. D., Baldwin, V., Grove, D., Moore, W., Riggs, C., &amp; Lyons, B. (1978). Integrating the moderately and severely handicapped preschool child into a normal day care setting. In M. J. Guralnick (Ed.), </w:t>
      </w:r>
      <w:r w:rsidRPr="004D7472">
        <w:rPr>
          <w:rFonts w:ascii="AdvP49812" w:eastAsia="Times New Roman" w:hAnsi="AdvP49812" w:cs="Times New Roman"/>
          <w:sz w:val="16"/>
          <w:szCs w:val="16"/>
        </w:rPr>
        <w:t xml:space="preserve">Early intervention and the integration of handicapped and nonhandicapped children </w:t>
      </w:r>
      <w:r w:rsidRPr="004D7472">
        <w:rPr>
          <w:rFonts w:ascii="AdvP49811" w:eastAsia="Times New Roman" w:hAnsi="AdvP49811" w:cs="Times New Roman"/>
          <w:sz w:val="16"/>
          <w:szCs w:val="16"/>
        </w:rPr>
        <w:t xml:space="preserve">(pp. 191–206). Baltimore: Brookes. </w:t>
      </w:r>
    </w:p>
    <w:p w14:paraId="5FC04E2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lastRenderedPageBreak/>
        <w:t xml:space="preserve">Giangreco, M. F., &amp; Meyer, L. H. (1988). Expanding service delivery options in regular schools and classrooms for students with severe disabilities. In J. L. Graden, J. E. Zins, &amp; M. J. Curtis (Eds.), </w:t>
      </w:r>
      <w:r w:rsidRPr="004D7472">
        <w:rPr>
          <w:rFonts w:ascii="AdvP49812" w:eastAsia="Times New Roman" w:hAnsi="AdvP49812" w:cs="Times New Roman"/>
          <w:sz w:val="16"/>
          <w:szCs w:val="16"/>
        </w:rPr>
        <w:t xml:space="preserve">Alternative educational delivery systems: Enhancing instructional options for all students </w:t>
      </w:r>
      <w:r w:rsidRPr="004D7472">
        <w:rPr>
          <w:rFonts w:ascii="AdvP49811" w:eastAsia="Times New Roman" w:hAnsi="AdvP49811" w:cs="Times New Roman"/>
          <w:sz w:val="16"/>
          <w:szCs w:val="16"/>
        </w:rPr>
        <w:t xml:space="preserve">(pp. 241–267). Washington, DC: National Association of School Psychologists. </w:t>
      </w:r>
    </w:p>
    <w:p w14:paraId="6F831B09"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Haring, N. G., &amp; De Vault, G. (1996). Family issues and family support: Discussion. In L. K. Koegel, R. L. Koegel, &amp; G. Dunlap (Eds.), </w:t>
      </w:r>
      <w:r w:rsidRPr="004D7472">
        <w:rPr>
          <w:rFonts w:ascii="AdvP49812" w:eastAsia="Times New Roman" w:hAnsi="AdvP49812" w:cs="Times New Roman"/>
          <w:sz w:val="16"/>
          <w:szCs w:val="16"/>
        </w:rPr>
        <w:t xml:space="preserve">Positive behavioral support: Including people with difficult behavior in the community </w:t>
      </w:r>
      <w:r w:rsidRPr="004D7472">
        <w:rPr>
          <w:rFonts w:ascii="AdvP49811" w:eastAsia="Times New Roman" w:hAnsi="AdvP49811" w:cs="Times New Roman"/>
          <w:sz w:val="16"/>
          <w:szCs w:val="16"/>
        </w:rPr>
        <w:t xml:space="preserve">(pp. 116–120). Baltimore: Brookes. </w:t>
      </w:r>
    </w:p>
    <w:p w14:paraId="13B1258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Horner, R. H. (2000). Positive behavior supports. </w:t>
      </w:r>
      <w:r w:rsidRPr="004D7472">
        <w:rPr>
          <w:rFonts w:ascii="AdvP49812" w:eastAsia="Times New Roman" w:hAnsi="AdvP49812" w:cs="Times New Roman"/>
          <w:sz w:val="16"/>
          <w:szCs w:val="16"/>
        </w:rPr>
        <w:t>Focus on Autism and Other Developmental Disabilities</w:t>
      </w:r>
      <w:r w:rsidRPr="004D7472">
        <w:rPr>
          <w:rFonts w:ascii="AdvP49811" w:eastAsia="Times New Roman" w:hAnsi="AdvP49811" w:cs="Times New Roman"/>
          <w:sz w:val="16"/>
          <w:szCs w:val="16"/>
        </w:rPr>
        <w:t xml:space="preserve">, </w:t>
      </w:r>
      <w:r w:rsidRPr="004D7472">
        <w:rPr>
          <w:rFonts w:ascii="AdvP49812" w:eastAsia="Times New Roman" w:hAnsi="AdvP49812" w:cs="Times New Roman"/>
          <w:sz w:val="16"/>
          <w:szCs w:val="16"/>
        </w:rPr>
        <w:t>15</w:t>
      </w:r>
      <w:r w:rsidRPr="004D7472">
        <w:rPr>
          <w:rFonts w:ascii="AdvP49811" w:eastAsia="Times New Roman" w:hAnsi="AdvP49811" w:cs="Times New Roman"/>
          <w:sz w:val="16"/>
          <w:szCs w:val="16"/>
        </w:rPr>
        <w:t xml:space="preserve">(2), 97–105. </w:t>
      </w:r>
    </w:p>
    <w:p w14:paraId="0DFA60AD"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Horner, R. H., &amp; Albin, R. W. (1988). Research on general-case procedures for learners with severe disabilities. </w:t>
      </w:r>
      <w:r w:rsidRPr="004D7472">
        <w:rPr>
          <w:rFonts w:ascii="AdvP49812" w:eastAsia="Times New Roman" w:hAnsi="AdvP49812" w:cs="Times New Roman"/>
          <w:sz w:val="16"/>
          <w:szCs w:val="16"/>
        </w:rPr>
        <w:t>Education and Treatment of Children</w:t>
      </w:r>
      <w:r w:rsidRPr="004D7472">
        <w:rPr>
          <w:rFonts w:ascii="AdvP49811" w:eastAsia="Times New Roman" w:hAnsi="AdvP49811" w:cs="Times New Roman"/>
          <w:sz w:val="16"/>
          <w:szCs w:val="16"/>
        </w:rPr>
        <w:t xml:space="preserve">, </w:t>
      </w:r>
      <w:r w:rsidRPr="004D7472">
        <w:rPr>
          <w:rFonts w:ascii="AdvP49812" w:eastAsia="Times New Roman" w:hAnsi="AdvP49812" w:cs="Times New Roman"/>
          <w:sz w:val="16"/>
          <w:szCs w:val="16"/>
        </w:rPr>
        <w:t>11</w:t>
      </w:r>
      <w:r w:rsidRPr="004D7472">
        <w:rPr>
          <w:rFonts w:ascii="AdvP49811" w:eastAsia="Times New Roman" w:hAnsi="AdvP49811" w:cs="Times New Roman"/>
          <w:sz w:val="16"/>
          <w:szCs w:val="16"/>
        </w:rPr>
        <w:t xml:space="preserve">, 375–388. </w:t>
      </w:r>
    </w:p>
    <w:p w14:paraId="595B8724"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Horner, R. H., Dunlap, G., &amp; Koegel, R. L. (1988). </w:t>
      </w:r>
      <w:r w:rsidRPr="004D7472">
        <w:rPr>
          <w:rFonts w:ascii="AdvP49812" w:eastAsia="Times New Roman" w:hAnsi="AdvP49812" w:cs="Times New Roman"/>
          <w:sz w:val="16"/>
          <w:szCs w:val="16"/>
        </w:rPr>
        <w:t>Generalization and maintenance: Lifestyle changes in applied settings</w:t>
      </w:r>
      <w:r w:rsidRPr="004D7472">
        <w:rPr>
          <w:rFonts w:ascii="AdvP49811" w:eastAsia="Times New Roman" w:hAnsi="AdvP49811" w:cs="Times New Roman"/>
          <w:sz w:val="16"/>
          <w:szCs w:val="16"/>
        </w:rPr>
        <w:t xml:space="preserve">. Baltimore: Brookes. </w:t>
      </w:r>
    </w:p>
    <w:p w14:paraId="275C560F"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Horner, R. H., Dunlap, G., Koegel, R. L., Carr, E. G., Sailor, W., Anderson, J., et al. (1990). Toward a technology of ‘‘nonaversive’’ behavioral support. </w:t>
      </w:r>
      <w:r w:rsidRPr="004D7472">
        <w:rPr>
          <w:rFonts w:ascii="AdvP49812" w:eastAsia="Times New Roman" w:hAnsi="AdvP49812" w:cs="Times New Roman"/>
          <w:sz w:val="16"/>
          <w:szCs w:val="16"/>
        </w:rPr>
        <w:t>Journal of the Association for Persons with Severe Handicaps</w:t>
      </w:r>
      <w:r w:rsidRPr="004D7472">
        <w:rPr>
          <w:rFonts w:ascii="AdvP49811" w:eastAsia="Times New Roman" w:hAnsi="AdvP49811" w:cs="Times New Roman"/>
          <w:sz w:val="16"/>
          <w:szCs w:val="16"/>
        </w:rPr>
        <w:t xml:space="preserve">, </w:t>
      </w:r>
      <w:r w:rsidRPr="004D7472">
        <w:rPr>
          <w:rFonts w:ascii="AdvP49812" w:eastAsia="Times New Roman" w:hAnsi="AdvP49812" w:cs="Times New Roman"/>
          <w:sz w:val="16"/>
          <w:szCs w:val="16"/>
        </w:rPr>
        <w:t>15</w:t>
      </w:r>
      <w:r w:rsidRPr="004D7472">
        <w:rPr>
          <w:rFonts w:ascii="AdvP49811" w:eastAsia="Times New Roman" w:hAnsi="AdvP49811" w:cs="Times New Roman"/>
          <w:sz w:val="16"/>
          <w:szCs w:val="16"/>
        </w:rPr>
        <w:t xml:space="preserve">, 125–132. </w:t>
      </w:r>
    </w:p>
    <w:p w14:paraId="1C5E3918"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Horner, R. H., Sprague, J. R., &amp; Wilcox, B. (1982). Constructing general case programs for community activities. In B. Wilcox &amp; T. Bellamy (Eds.), </w:t>
      </w:r>
      <w:r w:rsidRPr="004D7472">
        <w:rPr>
          <w:rFonts w:ascii="AdvP49812" w:eastAsia="Times New Roman" w:hAnsi="AdvP49812" w:cs="Times New Roman"/>
          <w:sz w:val="16"/>
          <w:szCs w:val="16"/>
        </w:rPr>
        <w:t>Design of high school for severely handicapped students</w:t>
      </w:r>
      <w:r w:rsidRPr="004D7472">
        <w:rPr>
          <w:rFonts w:ascii="AdvP49811" w:eastAsia="Times New Roman" w:hAnsi="AdvP49811" w:cs="Times New Roman"/>
          <w:sz w:val="16"/>
          <w:szCs w:val="16"/>
        </w:rPr>
        <w:t xml:space="preserve">. Baltimore: Brookes. </w:t>
      </w:r>
    </w:p>
    <w:p w14:paraId="65C117AC"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Johnston, J. M., &amp; Pennypacker, H. S. (1980). </w:t>
      </w:r>
      <w:r w:rsidRPr="004D7472">
        <w:rPr>
          <w:rFonts w:ascii="AdvP49812" w:eastAsia="Times New Roman" w:hAnsi="AdvP49812" w:cs="Times New Roman"/>
          <w:sz w:val="16"/>
          <w:szCs w:val="16"/>
        </w:rPr>
        <w:t>Strategies and tactics for human behavioral research</w:t>
      </w:r>
      <w:r w:rsidRPr="004D7472">
        <w:rPr>
          <w:rFonts w:ascii="AdvP49811" w:eastAsia="Times New Roman" w:hAnsi="AdvP49811" w:cs="Times New Roman"/>
          <w:sz w:val="16"/>
          <w:szCs w:val="16"/>
        </w:rPr>
        <w:t xml:space="preserve">. Hillsdale, NJ: Erlbaum. </w:t>
      </w:r>
    </w:p>
    <w:p w14:paraId="3BB6060A"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Kincaid, D. (1996). Person-centered planning. In L. K. Koegel, R. L. Koegel, &amp; G. Dunlap (Eds.), </w:t>
      </w:r>
      <w:r w:rsidRPr="004D7472">
        <w:rPr>
          <w:rFonts w:ascii="AdvP49812" w:eastAsia="Times New Roman" w:hAnsi="AdvP49812" w:cs="Times New Roman"/>
          <w:sz w:val="16"/>
          <w:szCs w:val="16"/>
        </w:rPr>
        <w:t xml:space="preserve">Positive behavioral support: Including people with difficult behavior in the community </w:t>
      </w:r>
      <w:r w:rsidRPr="004D7472">
        <w:rPr>
          <w:rFonts w:ascii="AdvP49811" w:eastAsia="Times New Roman" w:hAnsi="AdvP49811" w:cs="Times New Roman"/>
          <w:sz w:val="16"/>
          <w:szCs w:val="16"/>
        </w:rPr>
        <w:t xml:space="preserve">(pp. 439–465). Baltimore: Brookes. </w:t>
      </w:r>
    </w:p>
    <w:p w14:paraId="51127E54"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Koegel, L. K., Koegel, R. L., &amp; Dunlap, G. (1996). </w:t>
      </w:r>
      <w:r w:rsidRPr="004D7472">
        <w:rPr>
          <w:rFonts w:ascii="AdvP49812" w:eastAsia="Times New Roman" w:hAnsi="AdvP49812" w:cs="Times New Roman"/>
          <w:sz w:val="16"/>
          <w:szCs w:val="16"/>
        </w:rPr>
        <w:t>Positive behavior support: Including people with difficult behavior in the community</w:t>
      </w:r>
      <w:r w:rsidRPr="004D7472">
        <w:rPr>
          <w:rFonts w:ascii="AdvP49811" w:eastAsia="Times New Roman" w:hAnsi="AdvP49811" w:cs="Times New Roman"/>
          <w:sz w:val="16"/>
          <w:szCs w:val="16"/>
        </w:rPr>
        <w:t xml:space="preserve">. Baltimore: Brookes. </w:t>
      </w:r>
    </w:p>
    <w:p w14:paraId="4D854E68"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Knight, B. A. (1999). Towards inclusion of students with special needs in the regular classroom. </w:t>
      </w:r>
      <w:r w:rsidRPr="004D7472">
        <w:rPr>
          <w:rFonts w:ascii="AdvP49812" w:eastAsia="Times New Roman" w:hAnsi="AdvP49812" w:cs="Times New Roman"/>
          <w:sz w:val="16"/>
          <w:szCs w:val="16"/>
        </w:rPr>
        <w:t>Support for Learning</w:t>
      </w:r>
      <w:r w:rsidRPr="004D7472">
        <w:rPr>
          <w:rFonts w:ascii="AdvP49811" w:eastAsia="Times New Roman" w:hAnsi="AdvP49811" w:cs="Times New Roman"/>
          <w:sz w:val="16"/>
          <w:szCs w:val="16"/>
        </w:rPr>
        <w:t xml:space="preserve">, </w:t>
      </w:r>
      <w:r w:rsidRPr="004D7472">
        <w:rPr>
          <w:rFonts w:ascii="AdvP49812" w:eastAsia="Times New Roman" w:hAnsi="AdvP49812" w:cs="Times New Roman"/>
          <w:sz w:val="16"/>
          <w:szCs w:val="16"/>
        </w:rPr>
        <w:t>14</w:t>
      </w:r>
      <w:r w:rsidRPr="004D7472">
        <w:rPr>
          <w:rFonts w:ascii="AdvP49811" w:eastAsia="Times New Roman" w:hAnsi="AdvP49811" w:cs="Times New Roman"/>
          <w:sz w:val="16"/>
          <w:szCs w:val="16"/>
        </w:rPr>
        <w:t xml:space="preserve">(1), 3–7. </w:t>
      </w:r>
    </w:p>
    <w:p w14:paraId="0E1DC938"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Nirje, B. (1969). The normalization principle and its human management implications. In R. B. Kugel &amp; W. Wolfens- berger (Eds.), </w:t>
      </w:r>
      <w:r w:rsidRPr="004D7472">
        <w:rPr>
          <w:rFonts w:ascii="AdvP49812" w:eastAsia="Times New Roman" w:hAnsi="AdvP49812" w:cs="Times New Roman"/>
          <w:sz w:val="16"/>
          <w:szCs w:val="16"/>
        </w:rPr>
        <w:t>Changing patterns in residential services for the mentally retarded</w:t>
      </w:r>
      <w:r w:rsidRPr="004D7472">
        <w:rPr>
          <w:rFonts w:ascii="AdvP49811" w:eastAsia="Times New Roman" w:hAnsi="AdvP49811" w:cs="Times New Roman"/>
          <w:sz w:val="16"/>
          <w:szCs w:val="16"/>
        </w:rPr>
        <w:t xml:space="preserve">. Washington, DC: President’s Committee on Mental Retardation. </w:t>
      </w:r>
    </w:p>
    <w:p w14:paraId="27BD303A"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Nisbet, J. A., Jorgenson, C., &amp; Powers, S. (1994). Systems of change directed at inclusive education. In V. J. Bradley, J. W. Ashbaugh, &amp; B. C. Blaney (Eds.), </w:t>
      </w:r>
      <w:r w:rsidRPr="004D7472">
        <w:rPr>
          <w:rFonts w:ascii="AdvP49812" w:eastAsia="Times New Roman" w:hAnsi="AdvP49812" w:cs="Times New Roman"/>
          <w:sz w:val="16"/>
          <w:szCs w:val="16"/>
        </w:rPr>
        <w:t xml:space="preserve">Creating individual supports for people with developmental disabilities: A mandate for change at many levels </w:t>
      </w:r>
      <w:r w:rsidRPr="004D7472">
        <w:rPr>
          <w:rFonts w:ascii="AdvP49811" w:eastAsia="Times New Roman" w:hAnsi="AdvP49811" w:cs="Times New Roman"/>
          <w:sz w:val="16"/>
          <w:szCs w:val="16"/>
        </w:rPr>
        <w:t xml:space="preserve">(pp. 213– 236). Baltimore: Brookes. </w:t>
      </w:r>
    </w:p>
    <w:p w14:paraId="1FEFF478"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O’Neill, R. E., Horner, R. H., Albin, R. W., Sprague, J. R., Storey, K., &amp; Newton, J. S. (1997). </w:t>
      </w:r>
      <w:r w:rsidRPr="004D7472">
        <w:rPr>
          <w:rFonts w:ascii="AdvP49812" w:eastAsia="Times New Roman" w:hAnsi="AdvP49812" w:cs="Times New Roman"/>
          <w:sz w:val="16"/>
          <w:szCs w:val="16"/>
        </w:rPr>
        <w:t>Functional assessment and program development for problem behavior: A practical handbook</w:t>
      </w:r>
      <w:r w:rsidRPr="004D7472">
        <w:rPr>
          <w:rFonts w:ascii="AdvP49811" w:eastAsia="Times New Roman" w:hAnsi="AdvP49811" w:cs="Times New Roman"/>
          <w:sz w:val="16"/>
          <w:szCs w:val="16"/>
        </w:rPr>
        <w:t xml:space="preserve">. Pacific Grove, CA: Brooks/Cole. </w:t>
      </w:r>
    </w:p>
    <w:p w14:paraId="53825970"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Powell-Smith, K. A., &amp; Vaughn, B. (2006). Families of children with disabilities. In G. Bear &amp; K. Minke (Eds.), </w:t>
      </w:r>
      <w:r w:rsidRPr="004D7472">
        <w:rPr>
          <w:rFonts w:ascii="AdvP49812" w:eastAsia="Times New Roman" w:hAnsi="AdvP49812" w:cs="Times New Roman"/>
          <w:sz w:val="16"/>
          <w:szCs w:val="16"/>
        </w:rPr>
        <w:t xml:space="preserve">Children’s needs III: Development, problems, and alternatives </w:t>
      </w:r>
      <w:r w:rsidRPr="004D7472">
        <w:rPr>
          <w:rFonts w:ascii="AdvP49811" w:eastAsia="Times New Roman" w:hAnsi="AdvP49811" w:cs="Times New Roman"/>
          <w:sz w:val="16"/>
          <w:szCs w:val="16"/>
        </w:rPr>
        <w:t xml:space="preserve">(pp. 689–703). Bethesda, MD: National Association of School Psychologists. </w:t>
      </w:r>
    </w:p>
    <w:p w14:paraId="4AAE0038"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President’s Commission on Excellence in Special Education. (2002). </w:t>
      </w:r>
      <w:r w:rsidRPr="004D7472">
        <w:rPr>
          <w:rFonts w:ascii="AdvP49812" w:eastAsia="Times New Roman" w:hAnsi="AdvP49812" w:cs="Times New Roman"/>
          <w:sz w:val="16"/>
          <w:szCs w:val="16"/>
        </w:rPr>
        <w:t>A new era: Revitalizing special education for children and their families</w:t>
      </w:r>
      <w:r w:rsidRPr="004D7472">
        <w:rPr>
          <w:rFonts w:ascii="AdvP49811" w:eastAsia="Times New Roman" w:hAnsi="AdvP49811" w:cs="Times New Roman"/>
          <w:sz w:val="16"/>
          <w:szCs w:val="16"/>
        </w:rPr>
        <w:t xml:space="preserve">. Retrieved December 8, 2006, from http://www.ed.gov/inits/ commissionsboards/whspecialeducation </w:t>
      </w:r>
    </w:p>
    <w:p w14:paraId="104B38B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Reschly, D. J. (1988a). Assessment issues, placement litigation, and the future of mild mental retardation classification and programming. </w:t>
      </w:r>
      <w:r w:rsidRPr="004D7472">
        <w:rPr>
          <w:rFonts w:ascii="AdvP49812" w:eastAsia="Times New Roman" w:hAnsi="AdvP49812" w:cs="Times New Roman"/>
          <w:sz w:val="16"/>
          <w:szCs w:val="16"/>
        </w:rPr>
        <w:t>Education and Training in Mental Retardation</w:t>
      </w:r>
      <w:r w:rsidRPr="004D7472">
        <w:rPr>
          <w:rFonts w:ascii="AdvP49811" w:eastAsia="Times New Roman" w:hAnsi="AdvP49811" w:cs="Times New Roman"/>
          <w:sz w:val="16"/>
          <w:szCs w:val="16"/>
        </w:rPr>
        <w:t xml:space="preserve">, </w:t>
      </w:r>
      <w:r w:rsidRPr="004D7472">
        <w:rPr>
          <w:rFonts w:ascii="AdvP49812" w:eastAsia="Times New Roman" w:hAnsi="AdvP49812" w:cs="Times New Roman"/>
          <w:sz w:val="16"/>
          <w:szCs w:val="16"/>
        </w:rPr>
        <w:t>23</w:t>
      </w:r>
      <w:r w:rsidRPr="004D7472">
        <w:rPr>
          <w:rFonts w:ascii="AdvP49811" w:eastAsia="Times New Roman" w:hAnsi="AdvP49811" w:cs="Times New Roman"/>
          <w:sz w:val="16"/>
          <w:szCs w:val="16"/>
        </w:rPr>
        <w:t xml:space="preserve">, 285–301. </w:t>
      </w:r>
    </w:p>
    <w:p w14:paraId="30CB8C30"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Chapter 76, Volume 4 </w:t>
      </w:r>
    </w:p>
    <w:p w14:paraId="0BCDE0C3"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1247 </w:t>
      </w:r>
    </w:p>
    <w:p w14:paraId="74344BB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B" w:eastAsia="Times New Roman" w:hAnsi="AdvP6A4B" w:cs="Times New Roman"/>
          <w:sz w:val="18"/>
          <w:szCs w:val="18"/>
        </w:rPr>
        <w:t xml:space="preserve">Supporting the Education </w:t>
      </w:r>
    </w:p>
    <w:p w14:paraId="15499223" w14:textId="3591565C"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"/var/folders/l7/xsyc8qd571z0x_9_w06b59480000gn/T/com.microsoft.Word/WebArchiveCopyPasteTempFiles/page16image38324096"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1B0EB0CB" wp14:editId="70A2EDFF">
            <wp:extent cx="5943600" cy="15240"/>
            <wp:effectExtent l="0" t="0" r="0" b="0"/>
            <wp:docPr id="3" name="Picture 3" descr="page16image3832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age16image3832409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4277F67F" w14:textId="70B47A3B"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lastRenderedPageBreak/>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"/var/folders/l7/xsyc8qd571z0x_9_w06b59480000gn/T/com.microsoft.Word/WebArchiveCopyPasteTempFiles/page17image38402688"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1DA12361" wp14:editId="2198745B">
            <wp:extent cx="5943600" cy="15240"/>
            <wp:effectExtent l="0" t="0" r="0" b="0"/>
            <wp:docPr id="2" name="Picture 2" descr="page17image38402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age17image3840268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0F383F4E"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B" w:eastAsia="Times New Roman" w:hAnsi="AdvP6A4B" w:cs="Times New Roman"/>
          <w:sz w:val="18"/>
          <w:szCs w:val="18"/>
        </w:rPr>
        <w:t xml:space="preserve">Best Practices in School Psychology V </w:t>
      </w:r>
    </w:p>
    <w:p w14:paraId="7BE14CA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Reschly, D. J. (1988b). Minority mild mental retardation over- representation: Legal issues, research findings, and reform trends. In M. C. Wang &amp; M. C. Reynolds (Eds.), </w:t>
      </w:r>
      <w:r w:rsidRPr="004D7472">
        <w:rPr>
          <w:rFonts w:ascii="AdvP49812" w:eastAsia="Times New Roman" w:hAnsi="AdvP49812" w:cs="Times New Roman"/>
          <w:sz w:val="16"/>
          <w:szCs w:val="16"/>
        </w:rPr>
        <w:t xml:space="preserve">Handbook of special education: Research and practice, Vol. 2: Mildly handicapped conditions— Advances in education </w:t>
      </w:r>
      <w:r w:rsidRPr="004D7472">
        <w:rPr>
          <w:rFonts w:ascii="AdvP49811" w:eastAsia="Times New Roman" w:hAnsi="AdvP49811" w:cs="Times New Roman"/>
          <w:sz w:val="16"/>
          <w:szCs w:val="16"/>
        </w:rPr>
        <w:t xml:space="preserve">(pp. 23–41). Elmsford, NY: Pergamon Press. </w:t>
      </w:r>
    </w:p>
    <w:p w14:paraId="0D46A12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Reschly, D. J., &amp; Ysseldyke, J. E. (2002). Paradigm shift: The past is not the future. In A. Thomas &amp; J. Grimes (Eds.), </w:t>
      </w:r>
      <w:r w:rsidRPr="004D7472">
        <w:rPr>
          <w:rFonts w:ascii="AdvP49812" w:eastAsia="Times New Roman" w:hAnsi="AdvP49812" w:cs="Times New Roman"/>
          <w:sz w:val="16"/>
          <w:szCs w:val="16"/>
        </w:rPr>
        <w:t xml:space="preserve">Best practices in school psychology IV </w:t>
      </w:r>
      <w:r w:rsidRPr="004D7472">
        <w:rPr>
          <w:rFonts w:ascii="AdvP49811" w:eastAsia="Times New Roman" w:hAnsi="AdvP49811" w:cs="Times New Roman"/>
          <w:sz w:val="16"/>
          <w:szCs w:val="16"/>
        </w:rPr>
        <w:t xml:space="preserve">(pp. 3–20). Bethesda, MD: National Association of School Psychologists. </w:t>
      </w:r>
    </w:p>
    <w:p w14:paraId="69A0F9A8"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Robinson, C. C., &amp; Robinson, J. H. (1983). Sensorimotor functions and cognitive development. In M. Snell (Ed.), </w:t>
      </w:r>
      <w:r w:rsidRPr="004D7472">
        <w:rPr>
          <w:rFonts w:ascii="AdvP49812" w:eastAsia="Times New Roman" w:hAnsi="AdvP49812" w:cs="Times New Roman"/>
          <w:sz w:val="16"/>
          <w:szCs w:val="16"/>
        </w:rPr>
        <w:t xml:space="preserve">Systematic instruction of the moderately and severely handicapped </w:t>
      </w:r>
      <w:r w:rsidRPr="004D7472">
        <w:rPr>
          <w:rFonts w:ascii="AdvP49811" w:eastAsia="Times New Roman" w:hAnsi="AdvP49811" w:cs="Times New Roman"/>
          <w:sz w:val="16"/>
          <w:szCs w:val="16"/>
        </w:rPr>
        <w:t xml:space="preserve">(2nd ed., pp. 227–266). Columbus, OH: Merrill. </w:t>
      </w:r>
    </w:p>
    <w:p w14:paraId="5F968D7A"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Sailor, W., &amp; Horner, R. (1976). Educational and assessment strategies for the severely handicapped. In N. G. Haring &amp; L. J. Brown (Eds.), </w:t>
      </w:r>
      <w:r w:rsidRPr="004D7472">
        <w:rPr>
          <w:rFonts w:ascii="AdvP49812" w:eastAsia="Times New Roman" w:hAnsi="AdvP49812" w:cs="Times New Roman"/>
          <w:sz w:val="16"/>
          <w:szCs w:val="16"/>
        </w:rPr>
        <w:t xml:space="preserve">Teaching the severely handicapped </w:t>
      </w:r>
      <w:r w:rsidRPr="004D7472">
        <w:rPr>
          <w:rFonts w:ascii="AdvP49811" w:eastAsia="Times New Roman" w:hAnsi="AdvP49811" w:cs="Times New Roman"/>
          <w:sz w:val="16"/>
          <w:szCs w:val="16"/>
        </w:rPr>
        <w:t xml:space="preserve">(vol. 1, pp. 179–208). New York: Grune &amp; Stratton. </w:t>
      </w:r>
    </w:p>
    <w:p w14:paraId="2DBE6D4B"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Shipley-Benamou, R., Lutzker, J. R., &amp; Taubman, M. (2002). Teaching daily living skills to children with Autism through instructional video modeling. </w:t>
      </w:r>
      <w:r w:rsidRPr="004D7472">
        <w:rPr>
          <w:rFonts w:ascii="AdvP49812" w:eastAsia="Times New Roman" w:hAnsi="AdvP49812" w:cs="Times New Roman"/>
          <w:sz w:val="16"/>
          <w:szCs w:val="16"/>
        </w:rPr>
        <w:t>Journal of Positive Behavior Interventions</w:t>
      </w:r>
      <w:r w:rsidRPr="004D7472">
        <w:rPr>
          <w:rFonts w:ascii="AdvP49811" w:eastAsia="Times New Roman" w:hAnsi="AdvP49811" w:cs="Times New Roman"/>
          <w:sz w:val="16"/>
          <w:szCs w:val="16"/>
        </w:rPr>
        <w:t xml:space="preserve">, </w:t>
      </w:r>
      <w:r w:rsidRPr="004D7472">
        <w:rPr>
          <w:rFonts w:ascii="AdvP49812" w:eastAsia="Times New Roman" w:hAnsi="AdvP49812" w:cs="Times New Roman"/>
          <w:sz w:val="16"/>
          <w:szCs w:val="16"/>
        </w:rPr>
        <w:t>4</w:t>
      </w:r>
      <w:r w:rsidRPr="004D7472">
        <w:rPr>
          <w:rFonts w:ascii="AdvP49811" w:eastAsia="Times New Roman" w:hAnsi="AdvP49811" w:cs="Times New Roman"/>
          <w:sz w:val="16"/>
          <w:szCs w:val="16"/>
        </w:rPr>
        <w:t xml:space="preserve">, 165–188. </w:t>
      </w:r>
    </w:p>
    <w:p w14:paraId="7D73A644"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Sugai, G., Horner, R. H., Dunlap, G., Hienemen, M., Lewis, T. J., Nelson, M. C., et al. (2000). Applying positive behavior support and functional behavior assessment in schools. </w:t>
      </w:r>
      <w:r w:rsidRPr="004D7472">
        <w:rPr>
          <w:rFonts w:ascii="AdvP49812" w:eastAsia="Times New Roman" w:hAnsi="AdvP49812" w:cs="Times New Roman"/>
          <w:sz w:val="16"/>
          <w:szCs w:val="16"/>
        </w:rPr>
        <w:t>Journal of Positive Behavior Interventions</w:t>
      </w:r>
      <w:r w:rsidRPr="004D7472">
        <w:rPr>
          <w:rFonts w:ascii="AdvP49811" w:eastAsia="Times New Roman" w:hAnsi="AdvP49811" w:cs="Times New Roman"/>
          <w:sz w:val="16"/>
          <w:szCs w:val="16"/>
        </w:rPr>
        <w:t xml:space="preserve">, </w:t>
      </w:r>
      <w:r w:rsidRPr="004D7472">
        <w:rPr>
          <w:rFonts w:ascii="AdvP49812" w:eastAsia="Times New Roman" w:hAnsi="AdvP49812" w:cs="Times New Roman"/>
          <w:sz w:val="16"/>
          <w:szCs w:val="16"/>
        </w:rPr>
        <w:t>2</w:t>
      </w:r>
      <w:r w:rsidRPr="004D7472">
        <w:rPr>
          <w:rFonts w:ascii="AdvP49811" w:eastAsia="Times New Roman" w:hAnsi="AdvP49811" w:cs="Times New Roman"/>
          <w:sz w:val="16"/>
          <w:szCs w:val="16"/>
        </w:rPr>
        <w:t xml:space="preserve">, 131–143. </w:t>
      </w:r>
    </w:p>
    <w:p w14:paraId="58BE7E9B"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U.S. Department of Education. (2003). </w:t>
      </w:r>
      <w:r w:rsidRPr="004D7472">
        <w:rPr>
          <w:rFonts w:ascii="AdvP49812" w:eastAsia="Times New Roman" w:hAnsi="AdvP49812" w:cs="Times New Roman"/>
          <w:sz w:val="16"/>
          <w:szCs w:val="16"/>
        </w:rPr>
        <w:t>24th annual report to Congress on the implementation of the Individuals with Disabilities Education Act</w:t>
      </w:r>
      <w:r w:rsidRPr="004D7472">
        <w:rPr>
          <w:rFonts w:ascii="AdvP49811" w:eastAsia="Times New Roman" w:hAnsi="AdvP49811" w:cs="Times New Roman"/>
          <w:sz w:val="16"/>
          <w:szCs w:val="16"/>
        </w:rPr>
        <w:t xml:space="preserve">. Washington, DC: Author. </w:t>
      </w:r>
    </w:p>
    <w:p w14:paraId="1F0BDC8C"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Vohr, B. R., &amp; Allen, M. (2005). Extreme prematurity: The continuing dilemma. </w:t>
      </w:r>
      <w:r w:rsidRPr="004D7472">
        <w:rPr>
          <w:rFonts w:ascii="AdvP49812" w:eastAsia="Times New Roman" w:hAnsi="AdvP49812" w:cs="Times New Roman"/>
          <w:sz w:val="16"/>
          <w:szCs w:val="16"/>
        </w:rPr>
        <w:t>The New England Journal of Medicine</w:t>
      </w:r>
      <w:r w:rsidRPr="004D7472">
        <w:rPr>
          <w:rFonts w:ascii="AdvP49811" w:eastAsia="Times New Roman" w:hAnsi="AdvP49811" w:cs="Times New Roman"/>
          <w:sz w:val="16"/>
          <w:szCs w:val="16"/>
        </w:rPr>
        <w:t xml:space="preserve">, </w:t>
      </w:r>
      <w:r w:rsidRPr="004D7472">
        <w:rPr>
          <w:rFonts w:ascii="AdvP49812" w:eastAsia="Times New Roman" w:hAnsi="AdvP49812" w:cs="Times New Roman"/>
          <w:sz w:val="16"/>
          <w:szCs w:val="16"/>
        </w:rPr>
        <w:t>252</w:t>
      </w:r>
      <w:r w:rsidRPr="004D7472">
        <w:rPr>
          <w:rFonts w:ascii="AdvP49811" w:eastAsia="Times New Roman" w:hAnsi="AdvP49811" w:cs="Times New Roman"/>
          <w:sz w:val="16"/>
          <w:szCs w:val="16"/>
        </w:rPr>
        <w:t xml:space="preserve">, 71–72. </w:t>
      </w:r>
    </w:p>
    <w:p w14:paraId="2518B15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Westling, D. L., &amp; Fox, L. (2004). </w:t>
      </w:r>
      <w:r w:rsidRPr="004D7472">
        <w:rPr>
          <w:rFonts w:ascii="AdvP49812" w:eastAsia="Times New Roman" w:hAnsi="AdvP49812" w:cs="Times New Roman"/>
          <w:sz w:val="16"/>
          <w:szCs w:val="16"/>
        </w:rPr>
        <w:t xml:space="preserve">Teaching students with severe disabilities </w:t>
      </w:r>
      <w:r w:rsidRPr="004D7472">
        <w:rPr>
          <w:rFonts w:ascii="AdvP49811" w:eastAsia="Times New Roman" w:hAnsi="AdvP49811" w:cs="Times New Roman"/>
          <w:sz w:val="16"/>
          <w:szCs w:val="16"/>
        </w:rPr>
        <w:t xml:space="preserve">(3rd ed). Columbus, OH: Merrill. </w:t>
      </w:r>
    </w:p>
    <w:p w14:paraId="3F581F3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White, O. R. (1980). Adaptive performance objectives: Form versus function. In W. Sailor, B. Wilcox, &amp; L. Brown (Eds.), </w:t>
      </w:r>
      <w:r w:rsidRPr="004D7472">
        <w:rPr>
          <w:rFonts w:ascii="AdvP49812" w:eastAsia="Times New Roman" w:hAnsi="AdvP49812" w:cs="Times New Roman"/>
          <w:sz w:val="16"/>
          <w:szCs w:val="16"/>
        </w:rPr>
        <w:t xml:space="preserve">Methods of instruction for severely handicapped students </w:t>
      </w:r>
      <w:r w:rsidRPr="004D7472">
        <w:rPr>
          <w:rFonts w:ascii="AdvP49811" w:eastAsia="Times New Roman" w:hAnsi="AdvP49811" w:cs="Times New Roman"/>
          <w:sz w:val="16"/>
          <w:szCs w:val="16"/>
        </w:rPr>
        <w:t xml:space="preserve">(pp. 47–69). Baltimore: Brookes. </w:t>
      </w:r>
    </w:p>
    <w:p w14:paraId="32B234D5"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Wilcox, B., &amp; Bellamy, G. T. (1987). </w:t>
      </w:r>
      <w:r w:rsidRPr="004D7472">
        <w:rPr>
          <w:rFonts w:ascii="AdvP49812" w:eastAsia="Times New Roman" w:hAnsi="AdvP49812" w:cs="Times New Roman"/>
          <w:sz w:val="16"/>
          <w:szCs w:val="16"/>
        </w:rPr>
        <w:t>The Activities Catalog: An alternative curriculum for youth and adolescents with severe disabilities</w:t>
      </w:r>
      <w:r w:rsidRPr="004D7472">
        <w:rPr>
          <w:rFonts w:ascii="AdvP49811" w:eastAsia="Times New Roman" w:hAnsi="AdvP49811" w:cs="Times New Roman"/>
          <w:sz w:val="16"/>
          <w:szCs w:val="16"/>
        </w:rPr>
        <w:t xml:space="preserve">. Baltimore: Brookes. </w:t>
      </w:r>
    </w:p>
    <w:p w14:paraId="79A19D87"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Will, M. C. (1986). Educating children with learning problems: A shared responsibility. </w:t>
      </w:r>
      <w:r w:rsidRPr="004D7472">
        <w:rPr>
          <w:rFonts w:ascii="AdvP49812" w:eastAsia="Times New Roman" w:hAnsi="AdvP49812" w:cs="Times New Roman"/>
          <w:sz w:val="16"/>
          <w:szCs w:val="16"/>
        </w:rPr>
        <w:t>Exceptional Children</w:t>
      </w:r>
      <w:r w:rsidRPr="004D7472">
        <w:rPr>
          <w:rFonts w:ascii="AdvP49811" w:eastAsia="Times New Roman" w:hAnsi="AdvP49811" w:cs="Times New Roman"/>
          <w:sz w:val="16"/>
          <w:szCs w:val="16"/>
        </w:rPr>
        <w:t xml:space="preserve">, </w:t>
      </w:r>
      <w:r w:rsidRPr="004D7472">
        <w:rPr>
          <w:rFonts w:ascii="AdvP49812" w:eastAsia="Times New Roman" w:hAnsi="AdvP49812" w:cs="Times New Roman"/>
          <w:sz w:val="16"/>
          <w:szCs w:val="16"/>
        </w:rPr>
        <w:t>52</w:t>
      </w:r>
      <w:r w:rsidRPr="004D7472">
        <w:rPr>
          <w:rFonts w:ascii="AdvP49811" w:eastAsia="Times New Roman" w:hAnsi="AdvP49811" w:cs="Times New Roman"/>
          <w:sz w:val="16"/>
          <w:szCs w:val="16"/>
        </w:rPr>
        <w:t xml:space="preserve">, 411–415. </w:t>
      </w:r>
    </w:p>
    <w:p w14:paraId="48252F31"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Wolfensberger, W. (1972). Voluntary citizen advocacy in the human services. </w:t>
      </w:r>
      <w:r w:rsidRPr="004D7472">
        <w:rPr>
          <w:rFonts w:ascii="AdvP49812" w:eastAsia="Times New Roman" w:hAnsi="AdvP49812" w:cs="Times New Roman"/>
          <w:sz w:val="16"/>
          <w:szCs w:val="16"/>
        </w:rPr>
        <w:t>Canada’s Mental Health</w:t>
      </w:r>
      <w:r w:rsidRPr="004D7472">
        <w:rPr>
          <w:rFonts w:ascii="AdvP49811" w:eastAsia="Times New Roman" w:hAnsi="AdvP49811" w:cs="Times New Roman"/>
          <w:sz w:val="16"/>
          <w:szCs w:val="16"/>
        </w:rPr>
        <w:t xml:space="preserve">, </w:t>
      </w:r>
      <w:r w:rsidRPr="004D7472">
        <w:rPr>
          <w:rFonts w:ascii="AdvP49812" w:eastAsia="Times New Roman" w:hAnsi="AdvP49812" w:cs="Times New Roman"/>
          <w:sz w:val="16"/>
          <w:szCs w:val="16"/>
        </w:rPr>
        <w:t>20</w:t>
      </w:r>
      <w:r w:rsidRPr="004D7472">
        <w:rPr>
          <w:rFonts w:ascii="AdvP49811" w:eastAsia="Times New Roman" w:hAnsi="AdvP49811" w:cs="Times New Roman"/>
          <w:sz w:val="16"/>
          <w:szCs w:val="16"/>
        </w:rPr>
        <w:t xml:space="preserve">(2), 14–18. </w:t>
      </w:r>
    </w:p>
    <w:p w14:paraId="55903B0C"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Ysseldyke, J., Burns, M., Dawson, P., Kelley, B., Morrison, D., Ortiz, S., et al. (2006). </w:t>
      </w:r>
      <w:r w:rsidRPr="004D7472">
        <w:rPr>
          <w:rFonts w:ascii="AdvP49812" w:eastAsia="Times New Roman" w:hAnsi="AdvP49812" w:cs="Times New Roman"/>
          <w:sz w:val="16"/>
          <w:szCs w:val="16"/>
        </w:rPr>
        <w:t>School psychology: A blueprint for training and practice III</w:t>
      </w:r>
      <w:r w:rsidRPr="004D7472">
        <w:rPr>
          <w:rFonts w:ascii="AdvP49811" w:eastAsia="Times New Roman" w:hAnsi="AdvP49811" w:cs="Times New Roman"/>
          <w:sz w:val="16"/>
          <w:szCs w:val="16"/>
        </w:rPr>
        <w:t xml:space="preserve">. Bethesda, MD: National Association of School Psychologists. </w:t>
      </w:r>
    </w:p>
    <w:p w14:paraId="193629CE"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50" w:eastAsia="Times New Roman" w:hAnsi="AdvP6A50" w:cs="Times New Roman"/>
        </w:rPr>
        <w:t xml:space="preserve">ANNOTATED BIBLIOGRAPHY </w:t>
      </w:r>
    </w:p>
    <w:p w14:paraId="4DEE93A2"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O’Neill, R. E., Horner, R. H., Albin, R. W., Sprague, J. R., Storey, K., &amp; Newton, J. S. (1997). </w:t>
      </w:r>
      <w:r w:rsidRPr="004D7472">
        <w:rPr>
          <w:rFonts w:ascii="AdvP49812" w:eastAsia="Times New Roman" w:hAnsi="AdvP49812" w:cs="Times New Roman"/>
          <w:sz w:val="16"/>
          <w:szCs w:val="16"/>
        </w:rPr>
        <w:t>Functional assessment and program development for problem behavior: A practical handbook</w:t>
      </w:r>
      <w:r w:rsidRPr="004D7472">
        <w:rPr>
          <w:rFonts w:ascii="AdvP49811" w:eastAsia="Times New Roman" w:hAnsi="AdvP49811" w:cs="Times New Roman"/>
          <w:sz w:val="16"/>
          <w:szCs w:val="16"/>
        </w:rPr>
        <w:t xml:space="preserve">. Pacific Grove, CA: Brooks/Cole. </w:t>
      </w:r>
    </w:p>
    <w:p w14:paraId="54A298D9"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Provides detailed information regarding the processes included in a functional assessment including information on how to conduct a functional analysis. Organized like a workbook and includes multiple examples of completed forms used in the func- tional assessment process as well as blank forms for practitioner use. </w:t>
      </w:r>
    </w:p>
    <w:p w14:paraId="7CCEA55B"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Snell, M. E., &amp; Brown, F. (Eds.). (2006). </w:t>
      </w:r>
      <w:r w:rsidRPr="004D7472">
        <w:rPr>
          <w:rFonts w:ascii="AdvP49812" w:eastAsia="Times New Roman" w:hAnsi="AdvP49812" w:cs="Times New Roman"/>
          <w:sz w:val="16"/>
          <w:szCs w:val="16"/>
        </w:rPr>
        <w:t xml:space="preserve">Instruction of students with severe disabilities </w:t>
      </w:r>
      <w:r w:rsidRPr="004D7472">
        <w:rPr>
          <w:rFonts w:ascii="AdvP49811" w:eastAsia="Times New Roman" w:hAnsi="AdvP49811" w:cs="Times New Roman"/>
          <w:sz w:val="16"/>
          <w:szCs w:val="16"/>
        </w:rPr>
        <w:t xml:space="preserve">(6th ed.). Columbus, OH: Pearson. </w:t>
      </w:r>
    </w:p>
    <w:p w14:paraId="1EAA7CD0"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Provides a wide range of information regarding contemporary service delivery to students with severe disabilities including such topics as fostering family–professional partnerships, teaching functional communication, positive behavioral support, peer relationships, and general curriculum access. An excellent chapter on assessment includes examples of critical assessment processes such as ecological inventories. </w:t>
      </w:r>
    </w:p>
    <w:p w14:paraId="0D82E8A5"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lastRenderedPageBreak/>
        <w:t xml:space="preserve">Westling, D. L., &amp; Fox, L. (2004). </w:t>
      </w:r>
      <w:r w:rsidRPr="004D7472">
        <w:rPr>
          <w:rFonts w:ascii="AdvP49812" w:eastAsia="Times New Roman" w:hAnsi="AdvP49812" w:cs="Times New Roman"/>
          <w:sz w:val="16"/>
          <w:szCs w:val="16"/>
        </w:rPr>
        <w:t xml:space="preserve">Teaching students with severe disabilities </w:t>
      </w:r>
      <w:r w:rsidRPr="004D7472">
        <w:rPr>
          <w:rFonts w:ascii="AdvP49811" w:eastAsia="Times New Roman" w:hAnsi="AdvP49811" w:cs="Times New Roman"/>
          <w:sz w:val="16"/>
          <w:szCs w:val="16"/>
        </w:rPr>
        <w:t xml:space="preserve">(3rd ed). Columbus, OH: Merrill. </w:t>
      </w:r>
    </w:p>
    <w:p w14:paraId="7223B471"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 xml:space="preserve">Provides a contemporary view of service delivery for students with severe disabilities. Covers a wide range of important topics including collaboration among professionals, working with parents and families, cultural issues, assessment for determining instruc- tional needs, planning programs, teaching community and domestic skills, teaching leisure and recreational skills, teaching personal care skills, and evaluating student progress. </w:t>
      </w:r>
    </w:p>
    <w:p w14:paraId="5ECE3D39"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50" w:eastAsia="Times New Roman" w:hAnsi="AdvP6A50" w:cs="Times New Roman"/>
        </w:rPr>
        <w:t xml:space="preserve">WEB RESOURCES </w:t>
      </w:r>
    </w:p>
    <w:p w14:paraId="290F9C62"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Beach Center on Disability: www.beachcenter.org</w:t>
      </w:r>
      <w:r w:rsidRPr="004D7472">
        <w:rPr>
          <w:rFonts w:ascii="AdvP49811" w:eastAsia="Times New Roman" w:hAnsi="AdvP49811" w:cs="Times New Roman"/>
          <w:sz w:val="16"/>
          <w:szCs w:val="16"/>
        </w:rPr>
        <w:br/>
        <w:t xml:space="preserve">Affiliated with the University of Kansas’s Schiefelbusch Institute for Life Span Studies and the Department of Special Education. Provides both parents and professionals with informa- tion that can be located by general topic area (e.g., disability policy or self-determination) or by disability category (e.g., autism spectrum disorders or health impairments). Numerous research articles and other helpful documents are downloadable directly from the site. </w:t>
      </w:r>
    </w:p>
    <w:p w14:paraId="56EF2BEC"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49811" w:eastAsia="Times New Roman" w:hAnsi="AdvP49811" w:cs="Times New Roman"/>
          <w:sz w:val="16"/>
          <w:szCs w:val="16"/>
        </w:rPr>
        <w:t>National Dissemination Center for Children With Disabilities: www.nichcy.org</w:t>
      </w:r>
      <w:r w:rsidRPr="004D7472">
        <w:rPr>
          <w:rFonts w:ascii="AdvP49811" w:eastAsia="Times New Roman" w:hAnsi="AdvP49811" w:cs="Times New Roman"/>
          <w:sz w:val="16"/>
          <w:szCs w:val="16"/>
        </w:rPr>
        <w:br/>
        <w:t xml:space="preserve">Serves as a source of information on IDEA, the No Child Left Behind Act (as it relates to children with disabilities), and research- based information on effective educational practices. </w:t>
      </w:r>
    </w:p>
    <w:p w14:paraId="3074F226"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1248 </w:t>
      </w:r>
    </w:p>
    <w:p w14:paraId="117A677C" w14:textId="77777777" w:rsidR="004D7472" w:rsidRPr="004D7472" w:rsidRDefault="004D7472" w:rsidP="004D7472">
      <w:pPr>
        <w:spacing w:before="100" w:beforeAutospacing="1" w:after="100" w:afterAutospacing="1"/>
        <w:rPr>
          <w:rFonts w:ascii="Times New Roman" w:eastAsia="Times New Roman" w:hAnsi="Times New Roman" w:cs="Times New Roman"/>
        </w:rPr>
      </w:pPr>
      <w:r w:rsidRPr="004D7472">
        <w:rPr>
          <w:rFonts w:ascii="AdvP6A46" w:eastAsia="Times New Roman" w:hAnsi="AdvP6A46" w:cs="Times New Roman"/>
          <w:sz w:val="18"/>
          <w:szCs w:val="18"/>
        </w:rPr>
        <w:t xml:space="preserve">Chapter 76, Volume 4 </w:t>
      </w:r>
    </w:p>
    <w:p w14:paraId="1FE0C50F" w14:textId="1CC5B82B" w:rsidR="004D7472" w:rsidRPr="004D7472" w:rsidRDefault="004D7472" w:rsidP="004D7472">
      <w:pPr>
        <w:rPr>
          <w:rFonts w:ascii="Times New Roman" w:eastAsia="Times New Roman" w:hAnsi="Times New Roman" w:cs="Times New Roman"/>
        </w:rPr>
      </w:pPr>
      <w:r w:rsidRPr="004D7472">
        <w:rPr>
          <w:rFonts w:ascii="Times New Roman" w:eastAsia="Times New Roman" w:hAnsi="Times New Roman" w:cs="Times New Roman"/>
        </w:rPr>
        <w:fldChar w:fldCharType="begin"/>
      </w:r>
      <w:r w:rsidRPr="004D7472">
        <w:rPr>
          <w:rFonts w:ascii="Times New Roman" w:eastAsia="Times New Roman" w:hAnsi="Times New Roman" w:cs="Times New Roman"/>
        </w:rPr>
        <w:instrText xml:space="preserve"> INCLUDEPICTURE "/var/folders/l7/xsyc8qd571z0x_9_w06b59480000gn/T/com.microsoft.Word/WebArchiveCopyPasteTempFiles/page17image38486208" \* MERGEFORMATINET </w:instrText>
      </w:r>
      <w:r w:rsidRPr="004D7472">
        <w:rPr>
          <w:rFonts w:ascii="Times New Roman" w:eastAsia="Times New Roman" w:hAnsi="Times New Roman" w:cs="Times New Roman"/>
        </w:rPr>
        <w:fldChar w:fldCharType="separate"/>
      </w:r>
      <w:r w:rsidRPr="004D7472">
        <w:rPr>
          <w:rFonts w:ascii="Times New Roman" w:eastAsia="Times New Roman" w:hAnsi="Times New Roman" w:cs="Times New Roman"/>
          <w:noProof/>
        </w:rPr>
        <w:drawing>
          <wp:inline distT="0" distB="0" distL="0" distR="0" wp14:anchorId="49D70C97" wp14:editId="61C6A571">
            <wp:extent cx="5943600" cy="15240"/>
            <wp:effectExtent l="0" t="0" r="0" b="0"/>
            <wp:docPr id="1" name="Picture 1" descr="page17image38486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age17image3848620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240"/>
                    </a:xfrm>
                    <a:prstGeom prst="rect">
                      <a:avLst/>
                    </a:prstGeom>
                    <a:noFill/>
                    <a:ln>
                      <a:noFill/>
                    </a:ln>
                  </pic:spPr>
                </pic:pic>
              </a:graphicData>
            </a:graphic>
          </wp:inline>
        </w:drawing>
      </w:r>
      <w:r w:rsidRPr="004D7472">
        <w:rPr>
          <w:rFonts w:ascii="Times New Roman" w:eastAsia="Times New Roman" w:hAnsi="Times New Roman" w:cs="Times New Roman"/>
        </w:rPr>
        <w:fldChar w:fldCharType="end"/>
      </w:r>
    </w:p>
    <w:p w14:paraId="7CEB589A" w14:textId="77777777" w:rsidR="00F7581B" w:rsidRDefault="00F7581B"/>
    <w:sectPr w:rsidR="00F7581B" w:rsidSect="00CA4C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ejaVuSans">
    <w:altName w:val="Cambria"/>
    <w:panose1 w:val="020B0604020202020204"/>
    <w:charset w:val="00"/>
    <w:family w:val="roman"/>
    <w:notTrueType/>
    <w:pitch w:val="default"/>
  </w:font>
  <w:font w:name="AdvP6A50">
    <w:altName w:val="Cambria"/>
    <w:panose1 w:val="020B0604020202020204"/>
    <w:charset w:val="00"/>
    <w:family w:val="roman"/>
    <w:notTrueType/>
    <w:pitch w:val="default"/>
  </w:font>
  <w:font w:name="AdvP6A5A">
    <w:altName w:val="Cambria"/>
    <w:panose1 w:val="020B0604020202020204"/>
    <w:charset w:val="00"/>
    <w:family w:val="roman"/>
    <w:notTrueType/>
    <w:pitch w:val="default"/>
  </w:font>
  <w:font w:name="AdvP49811">
    <w:altName w:val="Cambria"/>
    <w:panose1 w:val="020B0604020202020204"/>
    <w:charset w:val="00"/>
    <w:family w:val="roman"/>
    <w:notTrueType/>
    <w:pitch w:val="default"/>
  </w:font>
  <w:font w:name="AdvP4980F">
    <w:altName w:val="Cambria"/>
    <w:panose1 w:val="020B0604020202020204"/>
    <w:charset w:val="00"/>
    <w:family w:val="roman"/>
    <w:notTrueType/>
    <w:pitch w:val="default"/>
  </w:font>
  <w:font w:name="AdvP49812">
    <w:altName w:val="Cambria"/>
    <w:panose1 w:val="020B0604020202020204"/>
    <w:charset w:val="00"/>
    <w:family w:val="roman"/>
    <w:notTrueType/>
    <w:pitch w:val="default"/>
  </w:font>
  <w:font w:name="AdvP6A46">
    <w:altName w:val="Cambria"/>
    <w:panose1 w:val="020B0604020202020204"/>
    <w:charset w:val="00"/>
    <w:family w:val="roman"/>
    <w:notTrueType/>
    <w:pitch w:val="default"/>
  </w:font>
  <w:font w:name="AdvP6A4B">
    <w:altName w:val="Cambria"/>
    <w:panose1 w:val="020B0604020202020204"/>
    <w:charset w:val="00"/>
    <w:family w:val="roman"/>
    <w:notTrueType/>
    <w:pitch w:val="default"/>
  </w:font>
  <w:font w:name="BaskervilleMT">
    <w:altName w:val="Baskerville Old Face"/>
    <w:panose1 w:val="020B0604020202020204"/>
    <w:charset w:val="00"/>
    <w:family w:val="roman"/>
    <w:notTrueType/>
    <w:pitch w:val="default"/>
  </w:font>
  <w:font w:name="AdvP49810">
    <w:altName w:val="Cambria"/>
    <w:panose1 w:val="020B0604020202020204"/>
    <w:charset w:val="00"/>
    <w:family w:val="roman"/>
    <w:notTrueType/>
    <w:pitch w:val="default"/>
  </w:font>
  <w:font w:name="AdvP7CA8">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472"/>
    <w:rsid w:val="004D7472"/>
    <w:rsid w:val="00CA4C7F"/>
    <w:rsid w:val="00F75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6D7C01"/>
  <w15:chartTrackingRefBased/>
  <w15:docId w15:val="{E486A5C9-E4E9-6A41-A536-83D185691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4D7472"/>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4D747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9353652">
      <w:bodyDiv w:val="1"/>
      <w:marLeft w:val="0"/>
      <w:marRight w:val="0"/>
      <w:marTop w:val="0"/>
      <w:marBottom w:val="0"/>
      <w:divBdr>
        <w:top w:val="none" w:sz="0" w:space="0" w:color="auto"/>
        <w:left w:val="none" w:sz="0" w:space="0" w:color="auto"/>
        <w:bottom w:val="none" w:sz="0" w:space="0" w:color="auto"/>
        <w:right w:val="none" w:sz="0" w:space="0" w:color="auto"/>
      </w:divBdr>
      <w:divsChild>
        <w:div w:id="879828347">
          <w:marLeft w:val="0"/>
          <w:marRight w:val="0"/>
          <w:marTop w:val="0"/>
          <w:marBottom w:val="0"/>
          <w:divBdr>
            <w:top w:val="none" w:sz="0" w:space="0" w:color="auto"/>
            <w:left w:val="none" w:sz="0" w:space="0" w:color="auto"/>
            <w:bottom w:val="none" w:sz="0" w:space="0" w:color="auto"/>
            <w:right w:val="none" w:sz="0" w:space="0" w:color="auto"/>
          </w:divBdr>
          <w:divsChild>
            <w:div w:id="1260215138">
              <w:marLeft w:val="0"/>
              <w:marRight w:val="0"/>
              <w:marTop w:val="0"/>
              <w:marBottom w:val="0"/>
              <w:divBdr>
                <w:top w:val="none" w:sz="0" w:space="0" w:color="auto"/>
                <w:left w:val="none" w:sz="0" w:space="0" w:color="auto"/>
                <w:bottom w:val="none" w:sz="0" w:space="0" w:color="auto"/>
                <w:right w:val="none" w:sz="0" w:space="0" w:color="auto"/>
              </w:divBdr>
              <w:divsChild>
                <w:div w:id="2122139882">
                  <w:marLeft w:val="0"/>
                  <w:marRight w:val="0"/>
                  <w:marTop w:val="0"/>
                  <w:marBottom w:val="0"/>
                  <w:divBdr>
                    <w:top w:val="none" w:sz="0" w:space="0" w:color="auto"/>
                    <w:left w:val="none" w:sz="0" w:space="0" w:color="auto"/>
                    <w:bottom w:val="none" w:sz="0" w:space="0" w:color="auto"/>
                    <w:right w:val="none" w:sz="0" w:space="0" w:color="auto"/>
                  </w:divBdr>
                </w:div>
              </w:divsChild>
            </w:div>
            <w:div w:id="1782725778">
              <w:marLeft w:val="0"/>
              <w:marRight w:val="0"/>
              <w:marTop w:val="0"/>
              <w:marBottom w:val="0"/>
              <w:divBdr>
                <w:top w:val="none" w:sz="0" w:space="0" w:color="auto"/>
                <w:left w:val="none" w:sz="0" w:space="0" w:color="auto"/>
                <w:bottom w:val="none" w:sz="0" w:space="0" w:color="auto"/>
                <w:right w:val="none" w:sz="0" w:space="0" w:color="auto"/>
              </w:divBdr>
              <w:divsChild>
                <w:div w:id="1701396077">
                  <w:marLeft w:val="0"/>
                  <w:marRight w:val="0"/>
                  <w:marTop w:val="0"/>
                  <w:marBottom w:val="0"/>
                  <w:divBdr>
                    <w:top w:val="none" w:sz="0" w:space="0" w:color="auto"/>
                    <w:left w:val="none" w:sz="0" w:space="0" w:color="auto"/>
                    <w:bottom w:val="none" w:sz="0" w:space="0" w:color="auto"/>
                    <w:right w:val="none" w:sz="0" w:space="0" w:color="auto"/>
                  </w:divBdr>
                </w:div>
              </w:divsChild>
            </w:div>
            <w:div w:id="1923685192">
              <w:marLeft w:val="0"/>
              <w:marRight w:val="0"/>
              <w:marTop w:val="0"/>
              <w:marBottom w:val="0"/>
              <w:divBdr>
                <w:top w:val="none" w:sz="0" w:space="0" w:color="auto"/>
                <w:left w:val="none" w:sz="0" w:space="0" w:color="auto"/>
                <w:bottom w:val="none" w:sz="0" w:space="0" w:color="auto"/>
                <w:right w:val="none" w:sz="0" w:space="0" w:color="auto"/>
              </w:divBdr>
              <w:divsChild>
                <w:div w:id="1396777412">
                  <w:marLeft w:val="0"/>
                  <w:marRight w:val="0"/>
                  <w:marTop w:val="0"/>
                  <w:marBottom w:val="0"/>
                  <w:divBdr>
                    <w:top w:val="none" w:sz="0" w:space="0" w:color="auto"/>
                    <w:left w:val="none" w:sz="0" w:space="0" w:color="auto"/>
                    <w:bottom w:val="none" w:sz="0" w:space="0" w:color="auto"/>
                    <w:right w:val="none" w:sz="0" w:space="0" w:color="auto"/>
                  </w:divBdr>
                </w:div>
                <w:div w:id="1636450485">
                  <w:marLeft w:val="0"/>
                  <w:marRight w:val="0"/>
                  <w:marTop w:val="0"/>
                  <w:marBottom w:val="0"/>
                  <w:divBdr>
                    <w:top w:val="none" w:sz="0" w:space="0" w:color="auto"/>
                    <w:left w:val="none" w:sz="0" w:space="0" w:color="auto"/>
                    <w:bottom w:val="none" w:sz="0" w:space="0" w:color="auto"/>
                    <w:right w:val="none" w:sz="0" w:space="0" w:color="auto"/>
                  </w:divBdr>
                </w:div>
              </w:divsChild>
            </w:div>
            <w:div w:id="398947228">
              <w:marLeft w:val="0"/>
              <w:marRight w:val="0"/>
              <w:marTop w:val="0"/>
              <w:marBottom w:val="0"/>
              <w:divBdr>
                <w:top w:val="none" w:sz="0" w:space="0" w:color="auto"/>
                <w:left w:val="none" w:sz="0" w:space="0" w:color="auto"/>
                <w:bottom w:val="none" w:sz="0" w:space="0" w:color="auto"/>
                <w:right w:val="none" w:sz="0" w:space="0" w:color="auto"/>
              </w:divBdr>
              <w:divsChild>
                <w:div w:id="91193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39051">
          <w:marLeft w:val="0"/>
          <w:marRight w:val="0"/>
          <w:marTop w:val="0"/>
          <w:marBottom w:val="0"/>
          <w:divBdr>
            <w:top w:val="none" w:sz="0" w:space="0" w:color="auto"/>
            <w:left w:val="none" w:sz="0" w:space="0" w:color="auto"/>
            <w:bottom w:val="none" w:sz="0" w:space="0" w:color="auto"/>
            <w:right w:val="none" w:sz="0" w:space="0" w:color="auto"/>
          </w:divBdr>
          <w:divsChild>
            <w:div w:id="712196800">
              <w:marLeft w:val="0"/>
              <w:marRight w:val="0"/>
              <w:marTop w:val="0"/>
              <w:marBottom w:val="0"/>
              <w:divBdr>
                <w:top w:val="none" w:sz="0" w:space="0" w:color="auto"/>
                <w:left w:val="none" w:sz="0" w:space="0" w:color="auto"/>
                <w:bottom w:val="none" w:sz="0" w:space="0" w:color="auto"/>
                <w:right w:val="none" w:sz="0" w:space="0" w:color="auto"/>
              </w:divBdr>
              <w:divsChild>
                <w:div w:id="186407420">
                  <w:marLeft w:val="0"/>
                  <w:marRight w:val="0"/>
                  <w:marTop w:val="0"/>
                  <w:marBottom w:val="0"/>
                  <w:divBdr>
                    <w:top w:val="none" w:sz="0" w:space="0" w:color="auto"/>
                    <w:left w:val="none" w:sz="0" w:space="0" w:color="auto"/>
                    <w:bottom w:val="none" w:sz="0" w:space="0" w:color="auto"/>
                    <w:right w:val="none" w:sz="0" w:space="0" w:color="auto"/>
                  </w:divBdr>
                </w:div>
              </w:divsChild>
            </w:div>
            <w:div w:id="92823115">
              <w:marLeft w:val="0"/>
              <w:marRight w:val="0"/>
              <w:marTop w:val="0"/>
              <w:marBottom w:val="0"/>
              <w:divBdr>
                <w:top w:val="none" w:sz="0" w:space="0" w:color="auto"/>
                <w:left w:val="none" w:sz="0" w:space="0" w:color="auto"/>
                <w:bottom w:val="none" w:sz="0" w:space="0" w:color="auto"/>
                <w:right w:val="none" w:sz="0" w:space="0" w:color="auto"/>
              </w:divBdr>
              <w:divsChild>
                <w:div w:id="1769691085">
                  <w:marLeft w:val="0"/>
                  <w:marRight w:val="0"/>
                  <w:marTop w:val="0"/>
                  <w:marBottom w:val="0"/>
                  <w:divBdr>
                    <w:top w:val="none" w:sz="0" w:space="0" w:color="auto"/>
                    <w:left w:val="none" w:sz="0" w:space="0" w:color="auto"/>
                    <w:bottom w:val="none" w:sz="0" w:space="0" w:color="auto"/>
                    <w:right w:val="none" w:sz="0" w:space="0" w:color="auto"/>
                  </w:divBdr>
                </w:div>
              </w:divsChild>
            </w:div>
            <w:div w:id="1681589171">
              <w:marLeft w:val="0"/>
              <w:marRight w:val="0"/>
              <w:marTop w:val="0"/>
              <w:marBottom w:val="0"/>
              <w:divBdr>
                <w:top w:val="none" w:sz="0" w:space="0" w:color="auto"/>
                <w:left w:val="none" w:sz="0" w:space="0" w:color="auto"/>
                <w:bottom w:val="none" w:sz="0" w:space="0" w:color="auto"/>
                <w:right w:val="none" w:sz="0" w:space="0" w:color="auto"/>
              </w:divBdr>
              <w:divsChild>
                <w:div w:id="369110140">
                  <w:marLeft w:val="0"/>
                  <w:marRight w:val="0"/>
                  <w:marTop w:val="0"/>
                  <w:marBottom w:val="0"/>
                  <w:divBdr>
                    <w:top w:val="none" w:sz="0" w:space="0" w:color="auto"/>
                    <w:left w:val="none" w:sz="0" w:space="0" w:color="auto"/>
                    <w:bottom w:val="none" w:sz="0" w:space="0" w:color="auto"/>
                    <w:right w:val="none" w:sz="0" w:space="0" w:color="auto"/>
                  </w:divBdr>
                </w:div>
                <w:div w:id="755245181">
                  <w:marLeft w:val="0"/>
                  <w:marRight w:val="0"/>
                  <w:marTop w:val="0"/>
                  <w:marBottom w:val="0"/>
                  <w:divBdr>
                    <w:top w:val="none" w:sz="0" w:space="0" w:color="auto"/>
                    <w:left w:val="none" w:sz="0" w:space="0" w:color="auto"/>
                    <w:bottom w:val="none" w:sz="0" w:space="0" w:color="auto"/>
                    <w:right w:val="none" w:sz="0" w:space="0" w:color="auto"/>
                  </w:divBdr>
                </w:div>
              </w:divsChild>
            </w:div>
            <w:div w:id="1980530412">
              <w:marLeft w:val="0"/>
              <w:marRight w:val="0"/>
              <w:marTop w:val="0"/>
              <w:marBottom w:val="0"/>
              <w:divBdr>
                <w:top w:val="none" w:sz="0" w:space="0" w:color="auto"/>
                <w:left w:val="none" w:sz="0" w:space="0" w:color="auto"/>
                <w:bottom w:val="none" w:sz="0" w:space="0" w:color="auto"/>
                <w:right w:val="none" w:sz="0" w:space="0" w:color="auto"/>
              </w:divBdr>
              <w:divsChild>
                <w:div w:id="172032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882744">
          <w:marLeft w:val="0"/>
          <w:marRight w:val="0"/>
          <w:marTop w:val="0"/>
          <w:marBottom w:val="0"/>
          <w:divBdr>
            <w:top w:val="none" w:sz="0" w:space="0" w:color="auto"/>
            <w:left w:val="none" w:sz="0" w:space="0" w:color="auto"/>
            <w:bottom w:val="none" w:sz="0" w:space="0" w:color="auto"/>
            <w:right w:val="none" w:sz="0" w:space="0" w:color="auto"/>
          </w:divBdr>
          <w:divsChild>
            <w:div w:id="716855104">
              <w:marLeft w:val="0"/>
              <w:marRight w:val="0"/>
              <w:marTop w:val="0"/>
              <w:marBottom w:val="0"/>
              <w:divBdr>
                <w:top w:val="none" w:sz="0" w:space="0" w:color="auto"/>
                <w:left w:val="none" w:sz="0" w:space="0" w:color="auto"/>
                <w:bottom w:val="none" w:sz="0" w:space="0" w:color="auto"/>
                <w:right w:val="none" w:sz="0" w:space="0" w:color="auto"/>
              </w:divBdr>
              <w:divsChild>
                <w:div w:id="1747998333">
                  <w:marLeft w:val="0"/>
                  <w:marRight w:val="0"/>
                  <w:marTop w:val="0"/>
                  <w:marBottom w:val="0"/>
                  <w:divBdr>
                    <w:top w:val="none" w:sz="0" w:space="0" w:color="auto"/>
                    <w:left w:val="none" w:sz="0" w:space="0" w:color="auto"/>
                    <w:bottom w:val="none" w:sz="0" w:space="0" w:color="auto"/>
                    <w:right w:val="none" w:sz="0" w:space="0" w:color="auto"/>
                  </w:divBdr>
                </w:div>
              </w:divsChild>
            </w:div>
            <w:div w:id="383721243">
              <w:marLeft w:val="0"/>
              <w:marRight w:val="0"/>
              <w:marTop w:val="0"/>
              <w:marBottom w:val="0"/>
              <w:divBdr>
                <w:top w:val="none" w:sz="0" w:space="0" w:color="auto"/>
                <w:left w:val="none" w:sz="0" w:space="0" w:color="auto"/>
                <w:bottom w:val="none" w:sz="0" w:space="0" w:color="auto"/>
                <w:right w:val="none" w:sz="0" w:space="0" w:color="auto"/>
              </w:divBdr>
              <w:divsChild>
                <w:div w:id="1532721174">
                  <w:marLeft w:val="0"/>
                  <w:marRight w:val="0"/>
                  <w:marTop w:val="0"/>
                  <w:marBottom w:val="0"/>
                  <w:divBdr>
                    <w:top w:val="none" w:sz="0" w:space="0" w:color="auto"/>
                    <w:left w:val="none" w:sz="0" w:space="0" w:color="auto"/>
                    <w:bottom w:val="none" w:sz="0" w:space="0" w:color="auto"/>
                    <w:right w:val="none" w:sz="0" w:space="0" w:color="auto"/>
                  </w:divBdr>
                </w:div>
                <w:div w:id="256253434">
                  <w:marLeft w:val="0"/>
                  <w:marRight w:val="0"/>
                  <w:marTop w:val="0"/>
                  <w:marBottom w:val="0"/>
                  <w:divBdr>
                    <w:top w:val="none" w:sz="0" w:space="0" w:color="auto"/>
                    <w:left w:val="none" w:sz="0" w:space="0" w:color="auto"/>
                    <w:bottom w:val="none" w:sz="0" w:space="0" w:color="auto"/>
                    <w:right w:val="none" w:sz="0" w:space="0" w:color="auto"/>
                  </w:divBdr>
                </w:div>
              </w:divsChild>
            </w:div>
            <w:div w:id="213271089">
              <w:marLeft w:val="0"/>
              <w:marRight w:val="0"/>
              <w:marTop w:val="0"/>
              <w:marBottom w:val="0"/>
              <w:divBdr>
                <w:top w:val="none" w:sz="0" w:space="0" w:color="auto"/>
                <w:left w:val="none" w:sz="0" w:space="0" w:color="auto"/>
                <w:bottom w:val="none" w:sz="0" w:space="0" w:color="auto"/>
                <w:right w:val="none" w:sz="0" w:space="0" w:color="auto"/>
              </w:divBdr>
              <w:divsChild>
                <w:div w:id="1737623968">
                  <w:marLeft w:val="0"/>
                  <w:marRight w:val="0"/>
                  <w:marTop w:val="0"/>
                  <w:marBottom w:val="0"/>
                  <w:divBdr>
                    <w:top w:val="none" w:sz="0" w:space="0" w:color="auto"/>
                    <w:left w:val="none" w:sz="0" w:space="0" w:color="auto"/>
                    <w:bottom w:val="none" w:sz="0" w:space="0" w:color="auto"/>
                    <w:right w:val="none" w:sz="0" w:space="0" w:color="auto"/>
                  </w:divBdr>
                </w:div>
                <w:div w:id="110573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992738">
          <w:marLeft w:val="0"/>
          <w:marRight w:val="0"/>
          <w:marTop w:val="0"/>
          <w:marBottom w:val="0"/>
          <w:divBdr>
            <w:top w:val="none" w:sz="0" w:space="0" w:color="auto"/>
            <w:left w:val="none" w:sz="0" w:space="0" w:color="auto"/>
            <w:bottom w:val="none" w:sz="0" w:space="0" w:color="auto"/>
            <w:right w:val="none" w:sz="0" w:space="0" w:color="auto"/>
          </w:divBdr>
          <w:divsChild>
            <w:div w:id="766386699">
              <w:marLeft w:val="0"/>
              <w:marRight w:val="0"/>
              <w:marTop w:val="0"/>
              <w:marBottom w:val="0"/>
              <w:divBdr>
                <w:top w:val="none" w:sz="0" w:space="0" w:color="auto"/>
                <w:left w:val="none" w:sz="0" w:space="0" w:color="auto"/>
                <w:bottom w:val="none" w:sz="0" w:space="0" w:color="auto"/>
                <w:right w:val="none" w:sz="0" w:space="0" w:color="auto"/>
              </w:divBdr>
              <w:divsChild>
                <w:div w:id="431707420">
                  <w:marLeft w:val="0"/>
                  <w:marRight w:val="0"/>
                  <w:marTop w:val="0"/>
                  <w:marBottom w:val="0"/>
                  <w:divBdr>
                    <w:top w:val="none" w:sz="0" w:space="0" w:color="auto"/>
                    <w:left w:val="none" w:sz="0" w:space="0" w:color="auto"/>
                    <w:bottom w:val="none" w:sz="0" w:space="0" w:color="auto"/>
                    <w:right w:val="none" w:sz="0" w:space="0" w:color="auto"/>
                  </w:divBdr>
                  <w:divsChild>
                    <w:div w:id="1806852267">
                      <w:marLeft w:val="0"/>
                      <w:marRight w:val="0"/>
                      <w:marTop w:val="0"/>
                      <w:marBottom w:val="0"/>
                      <w:divBdr>
                        <w:top w:val="none" w:sz="0" w:space="0" w:color="auto"/>
                        <w:left w:val="none" w:sz="0" w:space="0" w:color="auto"/>
                        <w:bottom w:val="none" w:sz="0" w:space="0" w:color="auto"/>
                        <w:right w:val="none" w:sz="0" w:space="0" w:color="auto"/>
                      </w:divBdr>
                    </w:div>
                  </w:divsChild>
                </w:div>
                <w:div w:id="1465460604">
                  <w:marLeft w:val="0"/>
                  <w:marRight w:val="0"/>
                  <w:marTop w:val="0"/>
                  <w:marBottom w:val="0"/>
                  <w:divBdr>
                    <w:top w:val="none" w:sz="0" w:space="0" w:color="auto"/>
                    <w:left w:val="none" w:sz="0" w:space="0" w:color="auto"/>
                    <w:bottom w:val="none" w:sz="0" w:space="0" w:color="auto"/>
                    <w:right w:val="none" w:sz="0" w:space="0" w:color="auto"/>
                  </w:divBdr>
                  <w:divsChild>
                    <w:div w:id="1164663266">
                      <w:marLeft w:val="0"/>
                      <w:marRight w:val="0"/>
                      <w:marTop w:val="0"/>
                      <w:marBottom w:val="0"/>
                      <w:divBdr>
                        <w:top w:val="none" w:sz="0" w:space="0" w:color="auto"/>
                        <w:left w:val="none" w:sz="0" w:space="0" w:color="auto"/>
                        <w:bottom w:val="none" w:sz="0" w:space="0" w:color="auto"/>
                        <w:right w:val="none" w:sz="0" w:space="0" w:color="auto"/>
                      </w:divBdr>
                    </w:div>
                  </w:divsChild>
                </w:div>
                <w:div w:id="2048139528">
                  <w:marLeft w:val="0"/>
                  <w:marRight w:val="0"/>
                  <w:marTop w:val="0"/>
                  <w:marBottom w:val="0"/>
                  <w:divBdr>
                    <w:top w:val="none" w:sz="0" w:space="0" w:color="auto"/>
                    <w:left w:val="none" w:sz="0" w:space="0" w:color="auto"/>
                    <w:bottom w:val="none" w:sz="0" w:space="0" w:color="auto"/>
                    <w:right w:val="none" w:sz="0" w:space="0" w:color="auto"/>
                  </w:divBdr>
                  <w:divsChild>
                    <w:div w:id="1142580995">
                      <w:marLeft w:val="0"/>
                      <w:marRight w:val="0"/>
                      <w:marTop w:val="0"/>
                      <w:marBottom w:val="0"/>
                      <w:divBdr>
                        <w:top w:val="none" w:sz="0" w:space="0" w:color="auto"/>
                        <w:left w:val="none" w:sz="0" w:space="0" w:color="auto"/>
                        <w:bottom w:val="none" w:sz="0" w:space="0" w:color="auto"/>
                        <w:right w:val="none" w:sz="0" w:space="0" w:color="auto"/>
                      </w:divBdr>
                    </w:div>
                  </w:divsChild>
                </w:div>
                <w:div w:id="43217305">
                  <w:marLeft w:val="0"/>
                  <w:marRight w:val="0"/>
                  <w:marTop w:val="0"/>
                  <w:marBottom w:val="0"/>
                  <w:divBdr>
                    <w:top w:val="none" w:sz="0" w:space="0" w:color="auto"/>
                    <w:left w:val="none" w:sz="0" w:space="0" w:color="auto"/>
                    <w:bottom w:val="none" w:sz="0" w:space="0" w:color="auto"/>
                    <w:right w:val="none" w:sz="0" w:space="0" w:color="auto"/>
                  </w:divBdr>
                  <w:divsChild>
                    <w:div w:id="937256408">
                      <w:marLeft w:val="0"/>
                      <w:marRight w:val="0"/>
                      <w:marTop w:val="0"/>
                      <w:marBottom w:val="0"/>
                      <w:divBdr>
                        <w:top w:val="none" w:sz="0" w:space="0" w:color="auto"/>
                        <w:left w:val="none" w:sz="0" w:space="0" w:color="auto"/>
                        <w:bottom w:val="none" w:sz="0" w:space="0" w:color="auto"/>
                        <w:right w:val="none" w:sz="0" w:space="0" w:color="auto"/>
                      </w:divBdr>
                    </w:div>
                    <w:div w:id="745881995">
                      <w:marLeft w:val="0"/>
                      <w:marRight w:val="0"/>
                      <w:marTop w:val="0"/>
                      <w:marBottom w:val="0"/>
                      <w:divBdr>
                        <w:top w:val="none" w:sz="0" w:space="0" w:color="auto"/>
                        <w:left w:val="none" w:sz="0" w:space="0" w:color="auto"/>
                        <w:bottom w:val="none" w:sz="0" w:space="0" w:color="auto"/>
                        <w:right w:val="none" w:sz="0" w:space="0" w:color="auto"/>
                      </w:divBdr>
                    </w:div>
                  </w:divsChild>
                </w:div>
                <w:div w:id="378821616">
                  <w:marLeft w:val="0"/>
                  <w:marRight w:val="0"/>
                  <w:marTop w:val="0"/>
                  <w:marBottom w:val="0"/>
                  <w:divBdr>
                    <w:top w:val="none" w:sz="0" w:space="0" w:color="auto"/>
                    <w:left w:val="none" w:sz="0" w:space="0" w:color="auto"/>
                    <w:bottom w:val="none" w:sz="0" w:space="0" w:color="auto"/>
                    <w:right w:val="none" w:sz="0" w:space="0" w:color="auto"/>
                  </w:divBdr>
                  <w:divsChild>
                    <w:div w:id="766774720">
                      <w:marLeft w:val="0"/>
                      <w:marRight w:val="0"/>
                      <w:marTop w:val="0"/>
                      <w:marBottom w:val="0"/>
                      <w:divBdr>
                        <w:top w:val="none" w:sz="0" w:space="0" w:color="auto"/>
                        <w:left w:val="none" w:sz="0" w:space="0" w:color="auto"/>
                        <w:bottom w:val="none" w:sz="0" w:space="0" w:color="auto"/>
                        <w:right w:val="none" w:sz="0" w:space="0" w:color="auto"/>
                      </w:divBdr>
                    </w:div>
                  </w:divsChild>
                </w:div>
                <w:div w:id="1590889061">
                  <w:marLeft w:val="0"/>
                  <w:marRight w:val="0"/>
                  <w:marTop w:val="0"/>
                  <w:marBottom w:val="0"/>
                  <w:divBdr>
                    <w:top w:val="none" w:sz="0" w:space="0" w:color="auto"/>
                    <w:left w:val="none" w:sz="0" w:space="0" w:color="auto"/>
                    <w:bottom w:val="none" w:sz="0" w:space="0" w:color="auto"/>
                    <w:right w:val="none" w:sz="0" w:space="0" w:color="auto"/>
                  </w:divBdr>
                  <w:divsChild>
                    <w:div w:id="386301296">
                      <w:marLeft w:val="0"/>
                      <w:marRight w:val="0"/>
                      <w:marTop w:val="0"/>
                      <w:marBottom w:val="0"/>
                      <w:divBdr>
                        <w:top w:val="none" w:sz="0" w:space="0" w:color="auto"/>
                        <w:left w:val="none" w:sz="0" w:space="0" w:color="auto"/>
                        <w:bottom w:val="none" w:sz="0" w:space="0" w:color="auto"/>
                        <w:right w:val="none" w:sz="0" w:space="0" w:color="auto"/>
                      </w:divBdr>
                    </w:div>
                  </w:divsChild>
                </w:div>
                <w:div w:id="1598976315">
                  <w:marLeft w:val="0"/>
                  <w:marRight w:val="0"/>
                  <w:marTop w:val="0"/>
                  <w:marBottom w:val="0"/>
                  <w:divBdr>
                    <w:top w:val="none" w:sz="0" w:space="0" w:color="auto"/>
                    <w:left w:val="none" w:sz="0" w:space="0" w:color="auto"/>
                    <w:bottom w:val="none" w:sz="0" w:space="0" w:color="auto"/>
                    <w:right w:val="none" w:sz="0" w:space="0" w:color="auto"/>
                  </w:divBdr>
                  <w:divsChild>
                    <w:div w:id="1779175991">
                      <w:marLeft w:val="0"/>
                      <w:marRight w:val="0"/>
                      <w:marTop w:val="0"/>
                      <w:marBottom w:val="0"/>
                      <w:divBdr>
                        <w:top w:val="none" w:sz="0" w:space="0" w:color="auto"/>
                        <w:left w:val="none" w:sz="0" w:space="0" w:color="auto"/>
                        <w:bottom w:val="none" w:sz="0" w:space="0" w:color="auto"/>
                        <w:right w:val="none" w:sz="0" w:space="0" w:color="auto"/>
                      </w:divBdr>
                    </w:div>
                  </w:divsChild>
                </w:div>
                <w:div w:id="2067795643">
                  <w:marLeft w:val="0"/>
                  <w:marRight w:val="0"/>
                  <w:marTop w:val="0"/>
                  <w:marBottom w:val="0"/>
                  <w:divBdr>
                    <w:top w:val="none" w:sz="0" w:space="0" w:color="auto"/>
                    <w:left w:val="none" w:sz="0" w:space="0" w:color="auto"/>
                    <w:bottom w:val="none" w:sz="0" w:space="0" w:color="auto"/>
                    <w:right w:val="none" w:sz="0" w:space="0" w:color="auto"/>
                  </w:divBdr>
                  <w:divsChild>
                    <w:div w:id="406264450">
                      <w:marLeft w:val="0"/>
                      <w:marRight w:val="0"/>
                      <w:marTop w:val="0"/>
                      <w:marBottom w:val="0"/>
                      <w:divBdr>
                        <w:top w:val="none" w:sz="0" w:space="0" w:color="auto"/>
                        <w:left w:val="none" w:sz="0" w:space="0" w:color="auto"/>
                        <w:bottom w:val="none" w:sz="0" w:space="0" w:color="auto"/>
                        <w:right w:val="none" w:sz="0" w:space="0" w:color="auto"/>
                      </w:divBdr>
                    </w:div>
                  </w:divsChild>
                </w:div>
                <w:div w:id="843130036">
                  <w:marLeft w:val="0"/>
                  <w:marRight w:val="0"/>
                  <w:marTop w:val="0"/>
                  <w:marBottom w:val="0"/>
                  <w:divBdr>
                    <w:top w:val="none" w:sz="0" w:space="0" w:color="auto"/>
                    <w:left w:val="none" w:sz="0" w:space="0" w:color="auto"/>
                    <w:bottom w:val="none" w:sz="0" w:space="0" w:color="auto"/>
                    <w:right w:val="none" w:sz="0" w:space="0" w:color="auto"/>
                  </w:divBdr>
                  <w:divsChild>
                    <w:div w:id="1429351197">
                      <w:marLeft w:val="0"/>
                      <w:marRight w:val="0"/>
                      <w:marTop w:val="0"/>
                      <w:marBottom w:val="0"/>
                      <w:divBdr>
                        <w:top w:val="none" w:sz="0" w:space="0" w:color="auto"/>
                        <w:left w:val="none" w:sz="0" w:space="0" w:color="auto"/>
                        <w:bottom w:val="none" w:sz="0" w:space="0" w:color="auto"/>
                        <w:right w:val="none" w:sz="0" w:space="0" w:color="auto"/>
                      </w:divBdr>
                    </w:div>
                    <w:div w:id="119956985">
                      <w:marLeft w:val="0"/>
                      <w:marRight w:val="0"/>
                      <w:marTop w:val="0"/>
                      <w:marBottom w:val="0"/>
                      <w:divBdr>
                        <w:top w:val="none" w:sz="0" w:space="0" w:color="auto"/>
                        <w:left w:val="none" w:sz="0" w:space="0" w:color="auto"/>
                        <w:bottom w:val="none" w:sz="0" w:space="0" w:color="auto"/>
                        <w:right w:val="none" w:sz="0" w:space="0" w:color="auto"/>
                      </w:divBdr>
                    </w:div>
                  </w:divsChild>
                </w:div>
                <w:div w:id="560872353">
                  <w:marLeft w:val="0"/>
                  <w:marRight w:val="0"/>
                  <w:marTop w:val="0"/>
                  <w:marBottom w:val="0"/>
                  <w:divBdr>
                    <w:top w:val="none" w:sz="0" w:space="0" w:color="auto"/>
                    <w:left w:val="none" w:sz="0" w:space="0" w:color="auto"/>
                    <w:bottom w:val="none" w:sz="0" w:space="0" w:color="auto"/>
                    <w:right w:val="none" w:sz="0" w:space="0" w:color="auto"/>
                  </w:divBdr>
                  <w:divsChild>
                    <w:div w:id="736708247">
                      <w:marLeft w:val="0"/>
                      <w:marRight w:val="0"/>
                      <w:marTop w:val="0"/>
                      <w:marBottom w:val="0"/>
                      <w:divBdr>
                        <w:top w:val="none" w:sz="0" w:space="0" w:color="auto"/>
                        <w:left w:val="none" w:sz="0" w:space="0" w:color="auto"/>
                        <w:bottom w:val="none" w:sz="0" w:space="0" w:color="auto"/>
                        <w:right w:val="none" w:sz="0" w:space="0" w:color="auto"/>
                      </w:divBdr>
                    </w:div>
                  </w:divsChild>
                </w:div>
                <w:div w:id="2144034630">
                  <w:marLeft w:val="0"/>
                  <w:marRight w:val="0"/>
                  <w:marTop w:val="0"/>
                  <w:marBottom w:val="0"/>
                  <w:divBdr>
                    <w:top w:val="none" w:sz="0" w:space="0" w:color="auto"/>
                    <w:left w:val="none" w:sz="0" w:space="0" w:color="auto"/>
                    <w:bottom w:val="none" w:sz="0" w:space="0" w:color="auto"/>
                    <w:right w:val="none" w:sz="0" w:space="0" w:color="auto"/>
                  </w:divBdr>
                  <w:divsChild>
                    <w:div w:id="948706172">
                      <w:marLeft w:val="0"/>
                      <w:marRight w:val="0"/>
                      <w:marTop w:val="0"/>
                      <w:marBottom w:val="0"/>
                      <w:divBdr>
                        <w:top w:val="none" w:sz="0" w:space="0" w:color="auto"/>
                        <w:left w:val="none" w:sz="0" w:space="0" w:color="auto"/>
                        <w:bottom w:val="none" w:sz="0" w:space="0" w:color="auto"/>
                        <w:right w:val="none" w:sz="0" w:space="0" w:color="auto"/>
                      </w:divBdr>
                    </w:div>
                  </w:divsChild>
                </w:div>
                <w:div w:id="1370257497">
                  <w:marLeft w:val="0"/>
                  <w:marRight w:val="0"/>
                  <w:marTop w:val="0"/>
                  <w:marBottom w:val="0"/>
                  <w:divBdr>
                    <w:top w:val="none" w:sz="0" w:space="0" w:color="auto"/>
                    <w:left w:val="none" w:sz="0" w:space="0" w:color="auto"/>
                    <w:bottom w:val="none" w:sz="0" w:space="0" w:color="auto"/>
                    <w:right w:val="none" w:sz="0" w:space="0" w:color="auto"/>
                  </w:divBdr>
                  <w:divsChild>
                    <w:div w:id="850215659">
                      <w:marLeft w:val="0"/>
                      <w:marRight w:val="0"/>
                      <w:marTop w:val="0"/>
                      <w:marBottom w:val="0"/>
                      <w:divBdr>
                        <w:top w:val="none" w:sz="0" w:space="0" w:color="auto"/>
                        <w:left w:val="none" w:sz="0" w:space="0" w:color="auto"/>
                        <w:bottom w:val="none" w:sz="0" w:space="0" w:color="auto"/>
                        <w:right w:val="none" w:sz="0" w:space="0" w:color="auto"/>
                      </w:divBdr>
                    </w:div>
                  </w:divsChild>
                </w:div>
                <w:div w:id="1704208120">
                  <w:marLeft w:val="0"/>
                  <w:marRight w:val="0"/>
                  <w:marTop w:val="0"/>
                  <w:marBottom w:val="0"/>
                  <w:divBdr>
                    <w:top w:val="none" w:sz="0" w:space="0" w:color="auto"/>
                    <w:left w:val="none" w:sz="0" w:space="0" w:color="auto"/>
                    <w:bottom w:val="none" w:sz="0" w:space="0" w:color="auto"/>
                    <w:right w:val="none" w:sz="0" w:space="0" w:color="auto"/>
                  </w:divBdr>
                  <w:divsChild>
                    <w:div w:id="153567149">
                      <w:marLeft w:val="0"/>
                      <w:marRight w:val="0"/>
                      <w:marTop w:val="0"/>
                      <w:marBottom w:val="0"/>
                      <w:divBdr>
                        <w:top w:val="none" w:sz="0" w:space="0" w:color="auto"/>
                        <w:left w:val="none" w:sz="0" w:space="0" w:color="auto"/>
                        <w:bottom w:val="none" w:sz="0" w:space="0" w:color="auto"/>
                        <w:right w:val="none" w:sz="0" w:space="0" w:color="auto"/>
                      </w:divBdr>
                    </w:div>
                  </w:divsChild>
                </w:div>
                <w:div w:id="438764913">
                  <w:marLeft w:val="0"/>
                  <w:marRight w:val="0"/>
                  <w:marTop w:val="0"/>
                  <w:marBottom w:val="0"/>
                  <w:divBdr>
                    <w:top w:val="none" w:sz="0" w:space="0" w:color="auto"/>
                    <w:left w:val="none" w:sz="0" w:space="0" w:color="auto"/>
                    <w:bottom w:val="none" w:sz="0" w:space="0" w:color="auto"/>
                    <w:right w:val="none" w:sz="0" w:space="0" w:color="auto"/>
                  </w:divBdr>
                  <w:divsChild>
                    <w:div w:id="489828563">
                      <w:marLeft w:val="0"/>
                      <w:marRight w:val="0"/>
                      <w:marTop w:val="0"/>
                      <w:marBottom w:val="0"/>
                      <w:divBdr>
                        <w:top w:val="none" w:sz="0" w:space="0" w:color="auto"/>
                        <w:left w:val="none" w:sz="0" w:space="0" w:color="auto"/>
                        <w:bottom w:val="none" w:sz="0" w:space="0" w:color="auto"/>
                        <w:right w:val="none" w:sz="0" w:space="0" w:color="auto"/>
                      </w:divBdr>
                    </w:div>
                  </w:divsChild>
                </w:div>
                <w:div w:id="625038784">
                  <w:marLeft w:val="0"/>
                  <w:marRight w:val="0"/>
                  <w:marTop w:val="0"/>
                  <w:marBottom w:val="0"/>
                  <w:divBdr>
                    <w:top w:val="none" w:sz="0" w:space="0" w:color="auto"/>
                    <w:left w:val="none" w:sz="0" w:space="0" w:color="auto"/>
                    <w:bottom w:val="none" w:sz="0" w:space="0" w:color="auto"/>
                    <w:right w:val="none" w:sz="0" w:space="0" w:color="auto"/>
                  </w:divBdr>
                  <w:divsChild>
                    <w:div w:id="1351756991">
                      <w:marLeft w:val="0"/>
                      <w:marRight w:val="0"/>
                      <w:marTop w:val="0"/>
                      <w:marBottom w:val="0"/>
                      <w:divBdr>
                        <w:top w:val="none" w:sz="0" w:space="0" w:color="auto"/>
                        <w:left w:val="none" w:sz="0" w:space="0" w:color="auto"/>
                        <w:bottom w:val="none" w:sz="0" w:space="0" w:color="auto"/>
                        <w:right w:val="none" w:sz="0" w:space="0" w:color="auto"/>
                      </w:divBdr>
                    </w:div>
                  </w:divsChild>
                </w:div>
                <w:div w:id="1075319152">
                  <w:marLeft w:val="0"/>
                  <w:marRight w:val="0"/>
                  <w:marTop w:val="0"/>
                  <w:marBottom w:val="0"/>
                  <w:divBdr>
                    <w:top w:val="none" w:sz="0" w:space="0" w:color="auto"/>
                    <w:left w:val="none" w:sz="0" w:space="0" w:color="auto"/>
                    <w:bottom w:val="none" w:sz="0" w:space="0" w:color="auto"/>
                    <w:right w:val="none" w:sz="0" w:space="0" w:color="auto"/>
                  </w:divBdr>
                  <w:divsChild>
                    <w:div w:id="1488401256">
                      <w:marLeft w:val="0"/>
                      <w:marRight w:val="0"/>
                      <w:marTop w:val="0"/>
                      <w:marBottom w:val="0"/>
                      <w:divBdr>
                        <w:top w:val="none" w:sz="0" w:space="0" w:color="auto"/>
                        <w:left w:val="none" w:sz="0" w:space="0" w:color="auto"/>
                        <w:bottom w:val="none" w:sz="0" w:space="0" w:color="auto"/>
                        <w:right w:val="none" w:sz="0" w:space="0" w:color="auto"/>
                      </w:divBdr>
                    </w:div>
                  </w:divsChild>
                </w:div>
                <w:div w:id="1384913318">
                  <w:marLeft w:val="0"/>
                  <w:marRight w:val="0"/>
                  <w:marTop w:val="0"/>
                  <w:marBottom w:val="0"/>
                  <w:divBdr>
                    <w:top w:val="none" w:sz="0" w:space="0" w:color="auto"/>
                    <w:left w:val="none" w:sz="0" w:space="0" w:color="auto"/>
                    <w:bottom w:val="none" w:sz="0" w:space="0" w:color="auto"/>
                    <w:right w:val="none" w:sz="0" w:space="0" w:color="auto"/>
                  </w:divBdr>
                  <w:divsChild>
                    <w:div w:id="1896044732">
                      <w:marLeft w:val="0"/>
                      <w:marRight w:val="0"/>
                      <w:marTop w:val="0"/>
                      <w:marBottom w:val="0"/>
                      <w:divBdr>
                        <w:top w:val="none" w:sz="0" w:space="0" w:color="auto"/>
                        <w:left w:val="none" w:sz="0" w:space="0" w:color="auto"/>
                        <w:bottom w:val="none" w:sz="0" w:space="0" w:color="auto"/>
                        <w:right w:val="none" w:sz="0" w:space="0" w:color="auto"/>
                      </w:divBdr>
                    </w:div>
                  </w:divsChild>
                </w:div>
                <w:div w:id="716320975">
                  <w:marLeft w:val="0"/>
                  <w:marRight w:val="0"/>
                  <w:marTop w:val="0"/>
                  <w:marBottom w:val="0"/>
                  <w:divBdr>
                    <w:top w:val="none" w:sz="0" w:space="0" w:color="auto"/>
                    <w:left w:val="none" w:sz="0" w:space="0" w:color="auto"/>
                    <w:bottom w:val="none" w:sz="0" w:space="0" w:color="auto"/>
                    <w:right w:val="none" w:sz="0" w:space="0" w:color="auto"/>
                  </w:divBdr>
                  <w:divsChild>
                    <w:div w:id="2098869002">
                      <w:marLeft w:val="0"/>
                      <w:marRight w:val="0"/>
                      <w:marTop w:val="0"/>
                      <w:marBottom w:val="0"/>
                      <w:divBdr>
                        <w:top w:val="none" w:sz="0" w:space="0" w:color="auto"/>
                        <w:left w:val="none" w:sz="0" w:space="0" w:color="auto"/>
                        <w:bottom w:val="none" w:sz="0" w:space="0" w:color="auto"/>
                        <w:right w:val="none" w:sz="0" w:space="0" w:color="auto"/>
                      </w:divBdr>
                    </w:div>
                  </w:divsChild>
                </w:div>
                <w:div w:id="1491677063">
                  <w:marLeft w:val="0"/>
                  <w:marRight w:val="0"/>
                  <w:marTop w:val="0"/>
                  <w:marBottom w:val="0"/>
                  <w:divBdr>
                    <w:top w:val="none" w:sz="0" w:space="0" w:color="auto"/>
                    <w:left w:val="none" w:sz="0" w:space="0" w:color="auto"/>
                    <w:bottom w:val="none" w:sz="0" w:space="0" w:color="auto"/>
                    <w:right w:val="none" w:sz="0" w:space="0" w:color="auto"/>
                  </w:divBdr>
                  <w:divsChild>
                    <w:div w:id="261571157">
                      <w:marLeft w:val="0"/>
                      <w:marRight w:val="0"/>
                      <w:marTop w:val="0"/>
                      <w:marBottom w:val="0"/>
                      <w:divBdr>
                        <w:top w:val="none" w:sz="0" w:space="0" w:color="auto"/>
                        <w:left w:val="none" w:sz="0" w:space="0" w:color="auto"/>
                        <w:bottom w:val="none" w:sz="0" w:space="0" w:color="auto"/>
                        <w:right w:val="none" w:sz="0" w:space="0" w:color="auto"/>
                      </w:divBdr>
                    </w:div>
                  </w:divsChild>
                </w:div>
                <w:div w:id="1014890787">
                  <w:marLeft w:val="0"/>
                  <w:marRight w:val="0"/>
                  <w:marTop w:val="0"/>
                  <w:marBottom w:val="0"/>
                  <w:divBdr>
                    <w:top w:val="none" w:sz="0" w:space="0" w:color="auto"/>
                    <w:left w:val="none" w:sz="0" w:space="0" w:color="auto"/>
                    <w:bottom w:val="none" w:sz="0" w:space="0" w:color="auto"/>
                    <w:right w:val="none" w:sz="0" w:space="0" w:color="auto"/>
                  </w:divBdr>
                  <w:divsChild>
                    <w:div w:id="145247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732145">
              <w:marLeft w:val="0"/>
              <w:marRight w:val="0"/>
              <w:marTop w:val="0"/>
              <w:marBottom w:val="0"/>
              <w:divBdr>
                <w:top w:val="none" w:sz="0" w:space="0" w:color="auto"/>
                <w:left w:val="none" w:sz="0" w:space="0" w:color="auto"/>
                <w:bottom w:val="none" w:sz="0" w:space="0" w:color="auto"/>
                <w:right w:val="none" w:sz="0" w:space="0" w:color="auto"/>
              </w:divBdr>
              <w:divsChild>
                <w:div w:id="3290441">
                  <w:marLeft w:val="0"/>
                  <w:marRight w:val="0"/>
                  <w:marTop w:val="0"/>
                  <w:marBottom w:val="0"/>
                  <w:divBdr>
                    <w:top w:val="none" w:sz="0" w:space="0" w:color="auto"/>
                    <w:left w:val="none" w:sz="0" w:space="0" w:color="auto"/>
                    <w:bottom w:val="none" w:sz="0" w:space="0" w:color="auto"/>
                    <w:right w:val="none" w:sz="0" w:space="0" w:color="auto"/>
                  </w:divBdr>
                  <w:divsChild>
                    <w:div w:id="33989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838358">
          <w:marLeft w:val="0"/>
          <w:marRight w:val="0"/>
          <w:marTop w:val="0"/>
          <w:marBottom w:val="0"/>
          <w:divBdr>
            <w:top w:val="none" w:sz="0" w:space="0" w:color="auto"/>
            <w:left w:val="none" w:sz="0" w:space="0" w:color="auto"/>
            <w:bottom w:val="none" w:sz="0" w:space="0" w:color="auto"/>
            <w:right w:val="none" w:sz="0" w:space="0" w:color="auto"/>
          </w:divBdr>
          <w:divsChild>
            <w:div w:id="982198851">
              <w:marLeft w:val="0"/>
              <w:marRight w:val="0"/>
              <w:marTop w:val="0"/>
              <w:marBottom w:val="0"/>
              <w:divBdr>
                <w:top w:val="none" w:sz="0" w:space="0" w:color="auto"/>
                <w:left w:val="none" w:sz="0" w:space="0" w:color="auto"/>
                <w:bottom w:val="none" w:sz="0" w:space="0" w:color="auto"/>
                <w:right w:val="none" w:sz="0" w:space="0" w:color="auto"/>
              </w:divBdr>
              <w:divsChild>
                <w:div w:id="69893674">
                  <w:marLeft w:val="0"/>
                  <w:marRight w:val="0"/>
                  <w:marTop w:val="0"/>
                  <w:marBottom w:val="0"/>
                  <w:divBdr>
                    <w:top w:val="none" w:sz="0" w:space="0" w:color="auto"/>
                    <w:left w:val="none" w:sz="0" w:space="0" w:color="auto"/>
                    <w:bottom w:val="none" w:sz="0" w:space="0" w:color="auto"/>
                    <w:right w:val="none" w:sz="0" w:space="0" w:color="auto"/>
                  </w:divBdr>
                </w:div>
              </w:divsChild>
            </w:div>
            <w:div w:id="1641569496">
              <w:marLeft w:val="0"/>
              <w:marRight w:val="0"/>
              <w:marTop w:val="0"/>
              <w:marBottom w:val="0"/>
              <w:divBdr>
                <w:top w:val="none" w:sz="0" w:space="0" w:color="auto"/>
                <w:left w:val="none" w:sz="0" w:space="0" w:color="auto"/>
                <w:bottom w:val="none" w:sz="0" w:space="0" w:color="auto"/>
                <w:right w:val="none" w:sz="0" w:space="0" w:color="auto"/>
              </w:divBdr>
              <w:divsChild>
                <w:div w:id="1657147840">
                  <w:marLeft w:val="0"/>
                  <w:marRight w:val="0"/>
                  <w:marTop w:val="0"/>
                  <w:marBottom w:val="0"/>
                  <w:divBdr>
                    <w:top w:val="none" w:sz="0" w:space="0" w:color="auto"/>
                    <w:left w:val="none" w:sz="0" w:space="0" w:color="auto"/>
                    <w:bottom w:val="none" w:sz="0" w:space="0" w:color="auto"/>
                    <w:right w:val="none" w:sz="0" w:space="0" w:color="auto"/>
                  </w:divBdr>
                </w:div>
                <w:div w:id="19282036">
                  <w:marLeft w:val="0"/>
                  <w:marRight w:val="0"/>
                  <w:marTop w:val="0"/>
                  <w:marBottom w:val="0"/>
                  <w:divBdr>
                    <w:top w:val="none" w:sz="0" w:space="0" w:color="auto"/>
                    <w:left w:val="none" w:sz="0" w:space="0" w:color="auto"/>
                    <w:bottom w:val="none" w:sz="0" w:space="0" w:color="auto"/>
                    <w:right w:val="none" w:sz="0" w:space="0" w:color="auto"/>
                  </w:divBdr>
                </w:div>
              </w:divsChild>
            </w:div>
            <w:div w:id="41711423">
              <w:marLeft w:val="0"/>
              <w:marRight w:val="0"/>
              <w:marTop w:val="0"/>
              <w:marBottom w:val="0"/>
              <w:divBdr>
                <w:top w:val="none" w:sz="0" w:space="0" w:color="auto"/>
                <w:left w:val="none" w:sz="0" w:space="0" w:color="auto"/>
                <w:bottom w:val="none" w:sz="0" w:space="0" w:color="auto"/>
                <w:right w:val="none" w:sz="0" w:space="0" w:color="auto"/>
              </w:divBdr>
              <w:divsChild>
                <w:div w:id="1741517834">
                  <w:marLeft w:val="0"/>
                  <w:marRight w:val="0"/>
                  <w:marTop w:val="0"/>
                  <w:marBottom w:val="0"/>
                  <w:divBdr>
                    <w:top w:val="none" w:sz="0" w:space="0" w:color="auto"/>
                    <w:left w:val="none" w:sz="0" w:space="0" w:color="auto"/>
                    <w:bottom w:val="none" w:sz="0" w:space="0" w:color="auto"/>
                    <w:right w:val="none" w:sz="0" w:space="0" w:color="auto"/>
                  </w:divBdr>
                </w:div>
                <w:div w:id="103484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180104">
          <w:marLeft w:val="0"/>
          <w:marRight w:val="0"/>
          <w:marTop w:val="0"/>
          <w:marBottom w:val="0"/>
          <w:divBdr>
            <w:top w:val="none" w:sz="0" w:space="0" w:color="auto"/>
            <w:left w:val="none" w:sz="0" w:space="0" w:color="auto"/>
            <w:bottom w:val="none" w:sz="0" w:space="0" w:color="auto"/>
            <w:right w:val="none" w:sz="0" w:space="0" w:color="auto"/>
          </w:divBdr>
          <w:divsChild>
            <w:div w:id="1508708883">
              <w:marLeft w:val="0"/>
              <w:marRight w:val="0"/>
              <w:marTop w:val="0"/>
              <w:marBottom w:val="0"/>
              <w:divBdr>
                <w:top w:val="none" w:sz="0" w:space="0" w:color="auto"/>
                <w:left w:val="none" w:sz="0" w:space="0" w:color="auto"/>
                <w:bottom w:val="none" w:sz="0" w:space="0" w:color="auto"/>
                <w:right w:val="none" w:sz="0" w:space="0" w:color="auto"/>
              </w:divBdr>
              <w:divsChild>
                <w:div w:id="927925213">
                  <w:marLeft w:val="0"/>
                  <w:marRight w:val="0"/>
                  <w:marTop w:val="0"/>
                  <w:marBottom w:val="0"/>
                  <w:divBdr>
                    <w:top w:val="none" w:sz="0" w:space="0" w:color="auto"/>
                    <w:left w:val="none" w:sz="0" w:space="0" w:color="auto"/>
                    <w:bottom w:val="none" w:sz="0" w:space="0" w:color="auto"/>
                    <w:right w:val="none" w:sz="0" w:space="0" w:color="auto"/>
                  </w:divBdr>
                </w:div>
                <w:div w:id="1095786068">
                  <w:marLeft w:val="0"/>
                  <w:marRight w:val="0"/>
                  <w:marTop w:val="0"/>
                  <w:marBottom w:val="0"/>
                  <w:divBdr>
                    <w:top w:val="none" w:sz="0" w:space="0" w:color="auto"/>
                    <w:left w:val="none" w:sz="0" w:space="0" w:color="auto"/>
                    <w:bottom w:val="none" w:sz="0" w:space="0" w:color="auto"/>
                    <w:right w:val="none" w:sz="0" w:space="0" w:color="auto"/>
                  </w:divBdr>
                </w:div>
              </w:divsChild>
            </w:div>
            <w:div w:id="213389292">
              <w:marLeft w:val="0"/>
              <w:marRight w:val="0"/>
              <w:marTop w:val="0"/>
              <w:marBottom w:val="0"/>
              <w:divBdr>
                <w:top w:val="none" w:sz="0" w:space="0" w:color="auto"/>
                <w:left w:val="none" w:sz="0" w:space="0" w:color="auto"/>
                <w:bottom w:val="none" w:sz="0" w:space="0" w:color="auto"/>
                <w:right w:val="none" w:sz="0" w:space="0" w:color="auto"/>
              </w:divBdr>
              <w:divsChild>
                <w:div w:id="1881626699">
                  <w:marLeft w:val="0"/>
                  <w:marRight w:val="0"/>
                  <w:marTop w:val="0"/>
                  <w:marBottom w:val="0"/>
                  <w:divBdr>
                    <w:top w:val="none" w:sz="0" w:space="0" w:color="auto"/>
                    <w:left w:val="none" w:sz="0" w:space="0" w:color="auto"/>
                    <w:bottom w:val="none" w:sz="0" w:space="0" w:color="auto"/>
                    <w:right w:val="none" w:sz="0" w:space="0" w:color="auto"/>
                  </w:divBdr>
                </w:div>
                <w:div w:id="1212956320">
                  <w:marLeft w:val="0"/>
                  <w:marRight w:val="0"/>
                  <w:marTop w:val="0"/>
                  <w:marBottom w:val="0"/>
                  <w:divBdr>
                    <w:top w:val="none" w:sz="0" w:space="0" w:color="auto"/>
                    <w:left w:val="none" w:sz="0" w:space="0" w:color="auto"/>
                    <w:bottom w:val="none" w:sz="0" w:space="0" w:color="auto"/>
                    <w:right w:val="none" w:sz="0" w:space="0" w:color="auto"/>
                  </w:divBdr>
                </w:div>
              </w:divsChild>
            </w:div>
            <w:div w:id="1493987309">
              <w:marLeft w:val="0"/>
              <w:marRight w:val="0"/>
              <w:marTop w:val="0"/>
              <w:marBottom w:val="0"/>
              <w:divBdr>
                <w:top w:val="none" w:sz="0" w:space="0" w:color="auto"/>
                <w:left w:val="none" w:sz="0" w:space="0" w:color="auto"/>
                <w:bottom w:val="none" w:sz="0" w:space="0" w:color="auto"/>
                <w:right w:val="none" w:sz="0" w:space="0" w:color="auto"/>
              </w:divBdr>
              <w:divsChild>
                <w:div w:id="132586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523737">
          <w:marLeft w:val="0"/>
          <w:marRight w:val="0"/>
          <w:marTop w:val="0"/>
          <w:marBottom w:val="0"/>
          <w:divBdr>
            <w:top w:val="none" w:sz="0" w:space="0" w:color="auto"/>
            <w:left w:val="none" w:sz="0" w:space="0" w:color="auto"/>
            <w:bottom w:val="none" w:sz="0" w:space="0" w:color="auto"/>
            <w:right w:val="none" w:sz="0" w:space="0" w:color="auto"/>
          </w:divBdr>
          <w:divsChild>
            <w:div w:id="1790709367">
              <w:marLeft w:val="0"/>
              <w:marRight w:val="0"/>
              <w:marTop w:val="0"/>
              <w:marBottom w:val="0"/>
              <w:divBdr>
                <w:top w:val="none" w:sz="0" w:space="0" w:color="auto"/>
                <w:left w:val="none" w:sz="0" w:space="0" w:color="auto"/>
                <w:bottom w:val="none" w:sz="0" w:space="0" w:color="auto"/>
                <w:right w:val="none" w:sz="0" w:space="0" w:color="auto"/>
              </w:divBdr>
              <w:divsChild>
                <w:div w:id="2087068921">
                  <w:marLeft w:val="0"/>
                  <w:marRight w:val="0"/>
                  <w:marTop w:val="0"/>
                  <w:marBottom w:val="0"/>
                  <w:divBdr>
                    <w:top w:val="none" w:sz="0" w:space="0" w:color="auto"/>
                    <w:left w:val="none" w:sz="0" w:space="0" w:color="auto"/>
                    <w:bottom w:val="none" w:sz="0" w:space="0" w:color="auto"/>
                    <w:right w:val="none" w:sz="0" w:space="0" w:color="auto"/>
                  </w:divBdr>
                </w:div>
              </w:divsChild>
            </w:div>
            <w:div w:id="1090741365">
              <w:marLeft w:val="0"/>
              <w:marRight w:val="0"/>
              <w:marTop w:val="0"/>
              <w:marBottom w:val="0"/>
              <w:divBdr>
                <w:top w:val="none" w:sz="0" w:space="0" w:color="auto"/>
                <w:left w:val="none" w:sz="0" w:space="0" w:color="auto"/>
                <w:bottom w:val="none" w:sz="0" w:space="0" w:color="auto"/>
                <w:right w:val="none" w:sz="0" w:space="0" w:color="auto"/>
              </w:divBdr>
              <w:divsChild>
                <w:div w:id="1832139906">
                  <w:marLeft w:val="0"/>
                  <w:marRight w:val="0"/>
                  <w:marTop w:val="0"/>
                  <w:marBottom w:val="0"/>
                  <w:divBdr>
                    <w:top w:val="none" w:sz="0" w:space="0" w:color="auto"/>
                    <w:left w:val="none" w:sz="0" w:space="0" w:color="auto"/>
                    <w:bottom w:val="none" w:sz="0" w:space="0" w:color="auto"/>
                    <w:right w:val="none" w:sz="0" w:space="0" w:color="auto"/>
                  </w:divBdr>
                </w:div>
                <w:div w:id="1315992079">
                  <w:marLeft w:val="0"/>
                  <w:marRight w:val="0"/>
                  <w:marTop w:val="0"/>
                  <w:marBottom w:val="0"/>
                  <w:divBdr>
                    <w:top w:val="none" w:sz="0" w:space="0" w:color="auto"/>
                    <w:left w:val="none" w:sz="0" w:space="0" w:color="auto"/>
                    <w:bottom w:val="none" w:sz="0" w:space="0" w:color="auto"/>
                    <w:right w:val="none" w:sz="0" w:space="0" w:color="auto"/>
                  </w:divBdr>
                </w:div>
              </w:divsChild>
            </w:div>
            <w:div w:id="1820146478">
              <w:marLeft w:val="0"/>
              <w:marRight w:val="0"/>
              <w:marTop w:val="0"/>
              <w:marBottom w:val="0"/>
              <w:divBdr>
                <w:top w:val="none" w:sz="0" w:space="0" w:color="auto"/>
                <w:left w:val="none" w:sz="0" w:space="0" w:color="auto"/>
                <w:bottom w:val="none" w:sz="0" w:space="0" w:color="auto"/>
                <w:right w:val="none" w:sz="0" w:space="0" w:color="auto"/>
              </w:divBdr>
              <w:divsChild>
                <w:div w:id="243301961">
                  <w:marLeft w:val="0"/>
                  <w:marRight w:val="0"/>
                  <w:marTop w:val="0"/>
                  <w:marBottom w:val="0"/>
                  <w:divBdr>
                    <w:top w:val="none" w:sz="0" w:space="0" w:color="auto"/>
                    <w:left w:val="none" w:sz="0" w:space="0" w:color="auto"/>
                    <w:bottom w:val="none" w:sz="0" w:space="0" w:color="auto"/>
                    <w:right w:val="none" w:sz="0" w:space="0" w:color="auto"/>
                  </w:divBdr>
                </w:div>
                <w:div w:id="143840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290213">
          <w:marLeft w:val="0"/>
          <w:marRight w:val="0"/>
          <w:marTop w:val="0"/>
          <w:marBottom w:val="0"/>
          <w:divBdr>
            <w:top w:val="none" w:sz="0" w:space="0" w:color="auto"/>
            <w:left w:val="none" w:sz="0" w:space="0" w:color="auto"/>
            <w:bottom w:val="none" w:sz="0" w:space="0" w:color="auto"/>
            <w:right w:val="none" w:sz="0" w:space="0" w:color="auto"/>
          </w:divBdr>
          <w:divsChild>
            <w:div w:id="380177497">
              <w:marLeft w:val="0"/>
              <w:marRight w:val="0"/>
              <w:marTop w:val="0"/>
              <w:marBottom w:val="0"/>
              <w:divBdr>
                <w:top w:val="none" w:sz="0" w:space="0" w:color="auto"/>
                <w:left w:val="none" w:sz="0" w:space="0" w:color="auto"/>
                <w:bottom w:val="none" w:sz="0" w:space="0" w:color="auto"/>
                <w:right w:val="none" w:sz="0" w:space="0" w:color="auto"/>
              </w:divBdr>
              <w:divsChild>
                <w:div w:id="933124486">
                  <w:marLeft w:val="0"/>
                  <w:marRight w:val="0"/>
                  <w:marTop w:val="0"/>
                  <w:marBottom w:val="0"/>
                  <w:divBdr>
                    <w:top w:val="none" w:sz="0" w:space="0" w:color="auto"/>
                    <w:left w:val="none" w:sz="0" w:space="0" w:color="auto"/>
                    <w:bottom w:val="none" w:sz="0" w:space="0" w:color="auto"/>
                    <w:right w:val="none" w:sz="0" w:space="0" w:color="auto"/>
                  </w:divBdr>
                </w:div>
              </w:divsChild>
            </w:div>
            <w:div w:id="496071490">
              <w:marLeft w:val="0"/>
              <w:marRight w:val="0"/>
              <w:marTop w:val="0"/>
              <w:marBottom w:val="0"/>
              <w:divBdr>
                <w:top w:val="none" w:sz="0" w:space="0" w:color="auto"/>
                <w:left w:val="none" w:sz="0" w:space="0" w:color="auto"/>
                <w:bottom w:val="none" w:sz="0" w:space="0" w:color="auto"/>
                <w:right w:val="none" w:sz="0" w:space="0" w:color="auto"/>
              </w:divBdr>
              <w:divsChild>
                <w:div w:id="1046612126">
                  <w:marLeft w:val="0"/>
                  <w:marRight w:val="0"/>
                  <w:marTop w:val="0"/>
                  <w:marBottom w:val="0"/>
                  <w:divBdr>
                    <w:top w:val="none" w:sz="0" w:space="0" w:color="auto"/>
                    <w:left w:val="none" w:sz="0" w:space="0" w:color="auto"/>
                    <w:bottom w:val="none" w:sz="0" w:space="0" w:color="auto"/>
                    <w:right w:val="none" w:sz="0" w:space="0" w:color="auto"/>
                  </w:divBdr>
                </w:div>
                <w:div w:id="437676220">
                  <w:marLeft w:val="0"/>
                  <w:marRight w:val="0"/>
                  <w:marTop w:val="0"/>
                  <w:marBottom w:val="0"/>
                  <w:divBdr>
                    <w:top w:val="none" w:sz="0" w:space="0" w:color="auto"/>
                    <w:left w:val="none" w:sz="0" w:space="0" w:color="auto"/>
                    <w:bottom w:val="none" w:sz="0" w:space="0" w:color="auto"/>
                    <w:right w:val="none" w:sz="0" w:space="0" w:color="auto"/>
                  </w:divBdr>
                </w:div>
                <w:div w:id="566451657">
                  <w:marLeft w:val="0"/>
                  <w:marRight w:val="0"/>
                  <w:marTop w:val="0"/>
                  <w:marBottom w:val="0"/>
                  <w:divBdr>
                    <w:top w:val="none" w:sz="0" w:space="0" w:color="auto"/>
                    <w:left w:val="none" w:sz="0" w:space="0" w:color="auto"/>
                    <w:bottom w:val="none" w:sz="0" w:space="0" w:color="auto"/>
                    <w:right w:val="none" w:sz="0" w:space="0" w:color="auto"/>
                  </w:divBdr>
                </w:div>
              </w:divsChild>
            </w:div>
            <w:div w:id="545600766">
              <w:marLeft w:val="0"/>
              <w:marRight w:val="0"/>
              <w:marTop w:val="0"/>
              <w:marBottom w:val="0"/>
              <w:divBdr>
                <w:top w:val="none" w:sz="0" w:space="0" w:color="auto"/>
                <w:left w:val="none" w:sz="0" w:space="0" w:color="auto"/>
                <w:bottom w:val="none" w:sz="0" w:space="0" w:color="auto"/>
                <w:right w:val="none" w:sz="0" w:space="0" w:color="auto"/>
              </w:divBdr>
              <w:divsChild>
                <w:div w:id="1183130337">
                  <w:marLeft w:val="0"/>
                  <w:marRight w:val="0"/>
                  <w:marTop w:val="0"/>
                  <w:marBottom w:val="0"/>
                  <w:divBdr>
                    <w:top w:val="none" w:sz="0" w:space="0" w:color="auto"/>
                    <w:left w:val="none" w:sz="0" w:space="0" w:color="auto"/>
                    <w:bottom w:val="none" w:sz="0" w:space="0" w:color="auto"/>
                    <w:right w:val="none" w:sz="0" w:space="0" w:color="auto"/>
                  </w:divBdr>
                </w:div>
              </w:divsChild>
            </w:div>
            <w:div w:id="1617059153">
              <w:marLeft w:val="0"/>
              <w:marRight w:val="0"/>
              <w:marTop w:val="0"/>
              <w:marBottom w:val="0"/>
              <w:divBdr>
                <w:top w:val="none" w:sz="0" w:space="0" w:color="auto"/>
                <w:left w:val="none" w:sz="0" w:space="0" w:color="auto"/>
                <w:bottom w:val="none" w:sz="0" w:space="0" w:color="auto"/>
                <w:right w:val="none" w:sz="0" w:space="0" w:color="auto"/>
              </w:divBdr>
              <w:divsChild>
                <w:div w:id="299653712">
                  <w:marLeft w:val="0"/>
                  <w:marRight w:val="0"/>
                  <w:marTop w:val="0"/>
                  <w:marBottom w:val="0"/>
                  <w:divBdr>
                    <w:top w:val="none" w:sz="0" w:space="0" w:color="auto"/>
                    <w:left w:val="none" w:sz="0" w:space="0" w:color="auto"/>
                    <w:bottom w:val="none" w:sz="0" w:space="0" w:color="auto"/>
                    <w:right w:val="none" w:sz="0" w:space="0" w:color="auto"/>
                  </w:divBdr>
                </w:div>
                <w:div w:id="1649943497">
                  <w:marLeft w:val="0"/>
                  <w:marRight w:val="0"/>
                  <w:marTop w:val="0"/>
                  <w:marBottom w:val="0"/>
                  <w:divBdr>
                    <w:top w:val="none" w:sz="0" w:space="0" w:color="auto"/>
                    <w:left w:val="none" w:sz="0" w:space="0" w:color="auto"/>
                    <w:bottom w:val="none" w:sz="0" w:space="0" w:color="auto"/>
                    <w:right w:val="none" w:sz="0" w:space="0" w:color="auto"/>
                  </w:divBdr>
                </w:div>
              </w:divsChild>
            </w:div>
            <w:div w:id="1688560032">
              <w:marLeft w:val="0"/>
              <w:marRight w:val="0"/>
              <w:marTop w:val="0"/>
              <w:marBottom w:val="0"/>
              <w:divBdr>
                <w:top w:val="none" w:sz="0" w:space="0" w:color="auto"/>
                <w:left w:val="none" w:sz="0" w:space="0" w:color="auto"/>
                <w:bottom w:val="none" w:sz="0" w:space="0" w:color="auto"/>
                <w:right w:val="none" w:sz="0" w:space="0" w:color="auto"/>
              </w:divBdr>
              <w:divsChild>
                <w:div w:id="550456395">
                  <w:marLeft w:val="0"/>
                  <w:marRight w:val="0"/>
                  <w:marTop w:val="0"/>
                  <w:marBottom w:val="0"/>
                  <w:divBdr>
                    <w:top w:val="none" w:sz="0" w:space="0" w:color="auto"/>
                    <w:left w:val="none" w:sz="0" w:space="0" w:color="auto"/>
                    <w:bottom w:val="none" w:sz="0" w:space="0" w:color="auto"/>
                    <w:right w:val="none" w:sz="0" w:space="0" w:color="auto"/>
                  </w:divBdr>
                </w:div>
                <w:div w:id="170421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203299">
          <w:marLeft w:val="0"/>
          <w:marRight w:val="0"/>
          <w:marTop w:val="0"/>
          <w:marBottom w:val="0"/>
          <w:divBdr>
            <w:top w:val="none" w:sz="0" w:space="0" w:color="auto"/>
            <w:left w:val="none" w:sz="0" w:space="0" w:color="auto"/>
            <w:bottom w:val="none" w:sz="0" w:space="0" w:color="auto"/>
            <w:right w:val="none" w:sz="0" w:space="0" w:color="auto"/>
          </w:divBdr>
          <w:divsChild>
            <w:div w:id="1251547354">
              <w:marLeft w:val="0"/>
              <w:marRight w:val="0"/>
              <w:marTop w:val="0"/>
              <w:marBottom w:val="0"/>
              <w:divBdr>
                <w:top w:val="none" w:sz="0" w:space="0" w:color="auto"/>
                <w:left w:val="none" w:sz="0" w:space="0" w:color="auto"/>
                <w:bottom w:val="none" w:sz="0" w:space="0" w:color="auto"/>
                <w:right w:val="none" w:sz="0" w:space="0" w:color="auto"/>
              </w:divBdr>
              <w:divsChild>
                <w:div w:id="710879176">
                  <w:marLeft w:val="0"/>
                  <w:marRight w:val="0"/>
                  <w:marTop w:val="0"/>
                  <w:marBottom w:val="0"/>
                  <w:divBdr>
                    <w:top w:val="none" w:sz="0" w:space="0" w:color="auto"/>
                    <w:left w:val="none" w:sz="0" w:space="0" w:color="auto"/>
                    <w:bottom w:val="none" w:sz="0" w:space="0" w:color="auto"/>
                    <w:right w:val="none" w:sz="0" w:space="0" w:color="auto"/>
                  </w:divBdr>
                </w:div>
              </w:divsChild>
            </w:div>
            <w:div w:id="894240381">
              <w:marLeft w:val="0"/>
              <w:marRight w:val="0"/>
              <w:marTop w:val="0"/>
              <w:marBottom w:val="0"/>
              <w:divBdr>
                <w:top w:val="none" w:sz="0" w:space="0" w:color="auto"/>
                <w:left w:val="none" w:sz="0" w:space="0" w:color="auto"/>
                <w:bottom w:val="none" w:sz="0" w:space="0" w:color="auto"/>
                <w:right w:val="none" w:sz="0" w:space="0" w:color="auto"/>
              </w:divBdr>
              <w:divsChild>
                <w:div w:id="2104297127">
                  <w:marLeft w:val="0"/>
                  <w:marRight w:val="0"/>
                  <w:marTop w:val="0"/>
                  <w:marBottom w:val="0"/>
                  <w:divBdr>
                    <w:top w:val="none" w:sz="0" w:space="0" w:color="auto"/>
                    <w:left w:val="none" w:sz="0" w:space="0" w:color="auto"/>
                    <w:bottom w:val="none" w:sz="0" w:space="0" w:color="auto"/>
                    <w:right w:val="none" w:sz="0" w:space="0" w:color="auto"/>
                  </w:divBdr>
                </w:div>
                <w:div w:id="804664732">
                  <w:marLeft w:val="0"/>
                  <w:marRight w:val="0"/>
                  <w:marTop w:val="0"/>
                  <w:marBottom w:val="0"/>
                  <w:divBdr>
                    <w:top w:val="none" w:sz="0" w:space="0" w:color="auto"/>
                    <w:left w:val="none" w:sz="0" w:space="0" w:color="auto"/>
                    <w:bottom w:val="none" w:sz="0" w:space="0" w:color="auto"/>
                    <w:right w:val="none" w:sz="0" w:space="0" w:color="auto"/>
                  </w:divBdr>
                </w:div>
              </w:divsChild>
            </w:div>
            <w:div w:id="1914507977">
              <w:marLeft w:val="0"/>
              <w:marRight w:val="0"/>
              <w:marTop w:val="0"/>
              <w:marBottom w:val="0"/>
              <w:divBdr>
                <w:top w:val="none" w:sz="0" w:space="0" w:color="auto"/>
                <w:left w:val="none" w:sz="0" w:space="0" w:color="auto"/>
                <w:bottom w:val="none" w:sz="0" w:space="0" w:color="auto"/>
                <w:right w:val="none" w:sz="0" w:space="0" w:color="auto"/>
              </w:divBdr>
              <w:divsChild>
                <w:div w:id="102699380">
                  <w:marLeft w:val="0"/>
                  <w:marRight w:val="0"/>
                  <w:marTop w:val="0"/>
                  <w:marBottom w:val="0"/>
                  <w:divBdr>
                    <w:top w:val="none" w:sz="0" w:space="0" w:color="auto"/>
                    <w:left w:val="none" w:sz="0" w:space="0" w:color="auto"/>
                    <w:bottom w:val="none" w:sz="0" w:space="0" w:color="auto"/>
                    <w:right w:val="none" w:sz="0" w:space="0" w:color="auto"/>
                  </w:divBdr>
                </w:div>
                <w:div w:id="53655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286567">
          <w:marLeft w:val="0"/>
          <w:marRight w:val="0"/>
          <w:marTop w:val="0"/>
          <w:marBottom w:val="0"/>
          <w:divBdr>
            <w:top w:val="none" w:sz="0" w:space="0" w:color="auto"/>
            <w:left w:val="none" w:sz="0" w:space="0" w:color="auto"/>
            <w:bottom w:val="none" w:sz="0" w:space="0" w:color="auto"/>
            <w:right w:val="none" w:sz="0" w:space="0" w:color="auto"/>
          </w:divBdr>
          <w:divsChild>
            <w:div w:id="1895504686">
              <w:marLeft w:val="0"/>
              <w:marRight w:val="0"/>
              <w:marTop w:val="0"/>
              <w:marBottom w:val="0"/>
              <w:divBdr>
                <w:top w:val="none" w:sz="0" w:space="0" w:color="auto"/>
                <w:left w:val="none" w:sz="0" w:space="0" w:color="auto"/>
                <w:bottom w:val="none" w:sz="0" w:space="0" w:color="auto"/>
                <w:right w:val="none" w:sz="0" w:space="0" w:color="auto"/>
              </w:divBdr>
              <w:divsChild>
                <w:div w:id="889802254">
                  <w:marLeft w:val="0"/>
                  <w:marRight w:val="0"/>
                  <w:marTop w:val="0"/>
                  <w:marBottom w:val="0"/>
                  <w:divBdr>
                    <w:top w:val="none" w:sz="0" w:space="0" w:color="auto"/>
                    <w:left w:val="none" w:sz="0" w:space="0" w:color="auto"/>
                    <w:bottom w:val="none" w:sz="0" w:space="0" w:color="auto"/>
                    <w:right w:val="none" w:sz="0" w:space="0" w:color="auto"/>
                  </w:divBdr>
                </w:div>
                <w:div w:id="66657018">
                  <w:marLeft w:val="0"/>
                  <w:marRight w:val="0"/>
                  <w:marTop w:val="0"/>
                  <w:marBottom w:val="0"/>
                  <w:divBdr>
                    <w:top w:val="none" w:sz="0" w:space="0" w:color="auto"/>
                    <w:left w:val="none" w:sz="0" w:space="0" w:color="auto"/>
                    <w:bottom w:val="none" w:sz="0" w:space="0" w:color="auto"/>
                    <w:right w:val="none" w:sz="0" w:space="0" w:color="auto"/>
                  </w:divBdr>
                </w:div>
              </w:divsChild>
            </w:div>
            <w:div w:id="1602757028">
              <w:marLeft w:val="0"/>
              <w:marRight w:val="0"/>
              <w:marTop w:val="0"/>
              <w:marBottom w:val="0"/>
              <w:divBdr>
                <w:top w:val="none" w:sz="0" w:space="0" w:color="auto"/>
                <w:left w:val="none" w:sz="0" w:space="0" w:color="auto"/>
                <w:bottom w:val="none" w:sz="0" w:space="0" w:color="auto"/>
                <w:right w:val="none" w:sz="0" w:space="0" w:color="auto"/>
              </w:divBdr>
              <w:divsChild>
                <w:div w:id="90899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250351">
          <w:marLeft w:val="0"/>
          <w:marRight w:val="0"/>
          <w:marTop w:val="0"/>
          <w:marBottom w:val="0"/>
          <w:divBdr>
            <w:top w:val="none" w:sz="0" w:space="0" w:color="auto"/>
            <w:left w:val="none" w:sz="0" w:space="0" w:color="auto"/>
            <w:bottom w:val="none" w:sz="0" w:space="0" w:color="auto"/>
            <w:right w:val="none" w:sz="0" w:space="0" w:color="auto"/>
          </w:divBdr>
          <w:divsChild>
            <w:div w:id="1453280864">
              <w:marLeft w:val="0"/>
              <w:marRight w:val="0"/>
              <w:marTop w:val="0"/>
              <w:marBottom w:val="0"/>
              <w:divBdr>
                <w:top w:val="none" w:sz="0" w:space="0" w:color="auto"/>
                <w:left w:val="none" w:sz="0" w:space="0" w:color="auto"/>
                <w:bottom w:val="none" w:sz="0" w:space="0" w:color="auto"/>
                <w:right w:val="none" w:sz="0" w:space="0" w:color="auto"/>
              </w:divBdr>
              <w:divsChild>
                <w:div w:id="913197357">
                  <w:marLeft w:val="0"/>
                  <w:marRight w:val="0"/>
                  <w:marTop w:val="0"/>
                  <w:marBottom w:val="0"/>
                  <w:divBdr>
                    <w:top w:val="none" w:sz="0" w:space="0" w:color="auto"/>
                    <w:left w:val="none" w:sz="0" w:space="0" w:color="auto"/>
                    <w:bottom w:val="none" w:sz="0" w:space="0" w:color="auto"/>
                    <w:right w:val="none" w:sz="0" w:space="0" w:color="auto"/>
                  </w:divBdr>
                </w:div>
              </w:divsChild>
            </w:div>
            <w:div w:id="1936548394">
              <w:marLeft w:val="0"/>
              <w:marRight w:val="0"/>
              <w:marTop w:val="0"/>
              <w:marBottom w:val="0"/>
              <w:divBdr>
                <w:top w:val="none" w:sz="0" w:space="0" w:color="auto"/>
                <w:left w:val="none" w:sz="0" w:space="0" w:color="auto"/>
                <w:bottom w:val="none" w:sz="0" w:space="0" w:color="auto"/>
                <w:right w:val="none" w:sz="0" w:space="0" w:color="auto"/>
              </w:divBdr>
              <w:divsChild>
                <w:div w:id="1205018074">
                  <w:marLeft w:val="0"/>
                  <w:marRight w:val="0"/>
                  <w:marTop w:val="0"/>
                  <w:marBottom w:val="0"/>
                  <w:divBdr>
                    <w:top w:val="none" w:sz="0" w:space="0" w:color="auto"/>
                    <w:left w:val="none" w:sz="0" w:space="0" w:color="auto"/>
                    <w:bottom w:val="none" w:sz="0" w:space="0" w:color="auto"/>
                    <w:right w:val="none" w:sz="0" w:space="0" w:color="auto"/>
                  </w:divBdr>
                </w:div>
                <w:div w:id="1001271756">
                  <w:marLeft w:val="0"/>
                  <w:marRight w:val="0"/>
                  <w:marTop w:val="0"/>
                  <w:marBottom w:val="0"/>
                  <w:divBdr>
                    <w:top w:val="none" w:sz="0" w:space="0" w:color="auto"/>
                    <w:left w:val="none" w:sz="0" w:space="0" w:color="auto"/>
                    <w:bottom w:val="none" w:sz="0" w:space="0" w:color="auto"/>
                    <w:right w:val="none" w:sz="0" w:space="0" w:color="auto"/>
                  </w:divBdr>
                </w:div>
              </w:divsChild>
            </w:div>
            <w:div w:id="429736840">
              <w:marLeft w:val="0"/>
              <w:marRight w:val="0"/>
              <w:marTop w:val="0"/>
              <w:marBottom w:val="0"/>
              <w:divBdr>
                <w:top w:val="none" w:sz="0" w:space="0" w:color="auto"/>
                <w:left w:val="none" w:sz="0" w:space="0" w:color="auto"/>
                <w:bottom w:val="none" w:sz="0" w:space="0" w:color="auto"/>
                <w:right w:val="none" w:sz="0" w:space="0" w:color="auto"/>
              </w:divBdr>
              <w:divsChild>
                <w:div w:id="449789904">
                  <w:marLeft w:val="0"/>
                  <w:marRight w:val="0"/>
                  <w:marTop w:val="0"/>
                  <w:marBottom w:val="0"/>
                  <w:divBdr>
                    <w:top w:val="none" w:sz="0" w:space="0" w:color="auto"/>
                    <w:left w:val="none" w:sz="0" w:space="0" w:color="auto"/>
                    <w:bottom w:val="none" w:sz="0" w:space="0" w:color="auto"/>
                    <w:right w:val="none" w:sz="0" w:space="0" w:color="auto"/>
                  </w:divBdr>
                </w:div>
                <w:div w:id="96249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397278">
          <w:marLeft w:val="0"/>
          <w:marRight w:val="0"/>
          <w:marTop w:val="0"/>
          <w:marBottom w:val="0"/>
          <w:divBdr>
            <w:top w:val="none" w:sz="0" w:space="0" w:color="auto"/>
            <w:left w:val="none" w:sz="0" w:space="0" w:color="auto"/>
            <w:bottom w:val="none" w:sz="0" w:space="0" w:color="auto"/>
            <w:right w:val="none" w:sz="0" w:space="0" w:color="auto"/>
          </w:divBdr>
          <w:divsChild>
            <w:div w:id="1901208254">
              <w:marLeft w:val="0"/>
              <w:marRight w:val="0"/>
              <w:marTop w:val="0"/>
              <w:marBottom w:val="0"/>
              <w:divBdr>
                <w:top w:val="none" w:sz="0" w:space="0" w:color="auto"/>
                <w:left w:val="none" w:sz="0" w:space="0" w:color="auto"/>
                <w:bottom w:val="none" w:sz="0" w:space="0" w:color="auto"/>
                <w:right w:val="none" w:sz="0" w:space="0" w:color="auto"/>
              </w:divBdr>
              <w:divsChild>
                <w:div w:id="825438070">
                  <w:marLeft w:val="0"/>
                  <w:marRight w:val="0"/>
                  <w:marTop w:val="0"/>
                  <w:marBottom w:val="0"/>
                  <w:divBdr>
                    <w:top w:val="none" w:sz="0" w:space="0" w:color="auto"/>
                    <w:left w:val="none" w:sz="0" w:space="0" w:color="auto"/>
                    <w:bottom w:val="none" w:sz="0" w:space="0" w:color="auto"/>
                    <w:right w:val="none" w:sz="0" w:space="0" w:color="auto"/>
                  </w:divBdr>
                  <w:divsChild>
                    <w:div w:id="695232437">
                      <w:marLeft w:val="0"/>
                      <w:marRight w:val="0"/>
                      <w:marTop w:val="0"/>
                      <w:marBottom w:val="0"/>
                      <w:divBdr>
                        <w:top w:val="none" w:sz="0" w:space="0" w:color="auto"/>
                        <w:left w:val="none" w:sz="0" w:space="0" w:color="auto"/>
                        <w:bottom w:val="none" w:sz="0" w:space="0" w:color="auto"/>
                        <w:right w:val="none" w:sz="0" w:space="0" w:color="auto"/>
                      </w:divBdr>
                    </w:div>
                  </w:divsChild>
                </w:div>
                <w:div w:id="559755287">
                  <w:marLeft w:val="0"/>
                  <w:marRight w:val="0"/>
                  <w:marTop w:val="0"/>
                  <w:marBottom w:val="0"/>
                  <w:divBdr>
                    <w:top w:val="none" w:sz="0" w:space="0" w:color="auto"/>
                    <w:left w:val="none" w:sz="0" w:space="0" w:color="auto"/>
                    <w:bottom w:val="none" w:sz="0" w:space="0" w:color="auto"/>
                    <w:right w:val="none" w:sz="0" w:space="0" w:color="auto"/>
                  </w:divBdr>
                  <w:divsChild>
                    <w:div w:id="119861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161416">
              <w:marLeft w:val="0"/>
              <w:marRight w:val="0"/>
              <w:marTop w:val="0"/>
              <w:marBottom w:val="0"/>
              <w:divBdr>
                <w:top w:val="none" w:sz="0" w:space="0" w:color="auto"/>
                <w:left w:val="none" w:sz="0" w:space="0" w:color="auto"/>
                <w:bottom w:val="none" w:sz="0" w:space="0" w:color="auto"/>
                <w:right w:val="none" w:sz="0" w:space="0" w:color="auto"/>
              </w:divBdr>
              <w:divsChild>
                <w:div w:id="1539010710">
                  <w:marLeft w:val="0"/>
                  <w:marRight w:val="0"/>
                  <w:marTop w:val="0"/>
                  <w:marBottom w:val="0"/>
                  <w:divBdr>
                    <w:top w:val="none" w:sz="0" w:space="0" w:color="auto"/>
                    <w:left w:val="none" w:sz="0" w:space="0" w:color="auto"/>
                    <w:bottom w:val="none" w:sz="0" w:space="0" w:color="auto"/>
                    <w:right w:val="none" w:sz="0" w:space="0" w:color="auto"/>
                  </w:divBdr>
                  <w:divsChild>
                    <w:div w:id="1696885710">
                      <w:marLeft w:val="0"/>
                      <w:marRight w:val="0"/>
                      <w:marTop w:val="0"/>
                      <w:marBottom w:val="0"/>
                      <w:divBdr>
                        <w:top w:val="none" w:sz="0" w:space="0" w:color="auto"/>
                        <w:left w:val="none" w:sz="0" w:space="0" w:color="auto"/>
                        <w:bottom w:val="none" w:sz="0" w:space="0" w:color="auto"/>
                        <w:right w:val="none" w:sz="0" w:space="0" w:color="auto"/>
                      </w:divBdr>
                    </w:div>
                  </w:divsChild>
                </w:div>
                <w:div w:id="287972501">
                  <w:marLeft w:val="0"/>
                  <w:marRight w:val="0"/>
                  <w:marTop w:val="0"/>
                  <w:marBottom w:val="0"/>
                  <w:divBdr>
                    <w:top w:val="none" w:sz="0" w:space="0" w:color="auto"/>
                    <w:left w:val="none" w:sz="0" w:space="0" w:color="auto"/>
                    <w:bottom w:val="none" w:sz="0" w:space="0" w:color="auto"/>
                    <w:right w:val="none" w:sz="0" w:space="0" w:color="auto"/>
                  </w:divBdr>
                  <w:divsChild>
                    <w:div w:id="1605647088">
                      <w:marLeft w:val="0"/>
                      <w:marRight w:val="0"/>
                      <w:marTop w:val="0"/>
                      <w:marBottom w:val="0"/>
                      <w:divBdr>
                        <w:top w:val="none" w:sz="0" w:space="0" w:color="auto"/>
                        <w:left w:val="none" w:sz="0" w:space="0" w:color="auto"/>
                        <w:bottom w:val="none" w:sz="0" w:space="0" w:color="auto"/>
                        <w:right w:val="none" w:sz="0" w:space="0" w:color="auto"/>
                      </w:divBdr>
                    </w:div>
                    <w:div w:id="383258211">
                      <w:marLeft w:val="0"/>
                      <w:marRight w:val="0"/>
                      <w:marTop w:val="0"/>
                      <w:marBottom w:val="0"/>
                      <w:divBdr>
                        <w:top w:val="none" w:sz="0" w:space="0" w:color="auto"/>
                        <w:left w:val="none" w:sz="0" w:space="0" w:color="auto"/>
                        <w:bottom w:val="none" w:sz="0" w:space="0" w:color="auto"/>
                        <w:right w:val="none" w:sz="0" w:space="0" w:color="auto"/>
                      </w:divBdr>
                    </w:div>
                    <w:div w:id="1716197992">
                      <w:marLeft w:val="0"/>
                      <w:marRight w:val="0"/>
                      <w:marTop w:val="0"/>
                      <w:marBottom w:val="0"/>
                      <w:divBdr>
                        <w:top w:val="none" w:sz="0" w:space="0" w:color="auto"/>
                        <w:left w:val="none" w:sz="0" w:space="0" w:color="auto"/>
                        <w:bottom w:val="none" w:sz="0" w:space="0" w:color="auto"/>
                        <w:right w:val="none" w:sz="0" w:space="0" w:color="auto"/>
                      </w:divBdr>
                    </w:div>
                    <w:div w:id="459618719">
                      <w:marLeft w:val="0"/>
                      <w:marRight w:val="0"/>
                      <w:marTop w:val="0"/>
                      <w:marBottom w:val="0"/>
                      <w:divBdr>
                        <w:top w:val="none" w:sz="0" w:space="0" w:color="auto"/>
                        <w:left w:val="none" w:sz="0" w:space="0" w:color="auto"/>
                        <w:bottom w:val="none" w:sz="0" w:space="0" w:color="auto"/>
                        <w:right w:val="none" w:sz="0" w:space="0" w:color="auto"/>
                      </w:divBdr>
                    </w:div>
                  </w:divsChild>
                </w:div>
                <w:div w:id="616642140">
                  <w:marLeft w:val="0"/>
                  <w:marRight w:val="0"/>
                  <w:marTop w:val="0"/>
                  <w:marBottom w:val="0"/>
                  <w:divBdr>
                    <w:top w:val="none" w:sz="0" w:space="0" w:color="auto"/>
                    <w:left w:val="none" w:sz="0" w:space="0" w:color="auto"/>
                    <w:bottom w:val="none" w:sz="0" w:space="0" w:color="auto"/>
                    <w:right w:val="none" w:sz="0" w:space="0" w:color="auto"/>
                  </w:divBdr>
                  <w:divsChild>
                    <w:div w:id="116413396">
                      <w:marLeft w:val="0"/>
                      <w:marRight w:val="0"/>
                      <w:marTop w:val="0"/>
                      <w:marBottom w:val="0"/>
                      <w:divBdr>
                        <w:top w:val="none" w:sz="0" w:space="0" w:color="auto"/>
                        <w:left w:val="none" w:sz="0" w:space="0" w:color="auto"/>
                        <w:bottom w:val="none" w:sz="0" w:space="0" w:color="auto"/>
                        <w:right w:val="none" w:sz="0" w:space="0" w:color="auto"/>
                      </w:divBdr>
                    </w:div>
                    <w:div w:id="95558386">
                      <w:marLeft w:val="0"/>
                      <w:marRight w:val="0"/>
                      <w:marTop w:val="0"/>
                      <w:marBottom w:val="0"/>
                      <w:divBdr>
                        <w:top w:val="none" w:sz="0" w:space="0" w:color="auto"/>
                        <w:left w:val="none" w:sz="0" w:space="0" w:color="auto"/>
                        <w:bottom w:val="none" w:sz="0" w:space="0" w:color="auto"/>
                        <w:right w:val="none" w:sz="0" w:space="0" w:color="auto"/>
                      </w:divBdr>
                    </w:div>
                    <w:div w:id="851182036">
                      <w:marLeft w:val="0"/>
                      <w:marRight w:val="0"/>
                      <w:marTop w:val="0"/>
                      <w:marBottom w:val="0"/>
                      <w:divBdr>
                        <w:top w:val="none" w:sz="0" w:space="0" w:color="auto"/>
                        <w:left w:val="none" w:sz="0" w:space="0" w:color="auto"/>
                        <w:bottom w:val="none" w:sz="0" w:space="0" w:color="auto"/>
                        <w:right w:val="none" w:sz="0" w:space="0" w:color="auto"/>
                      </w:divBdr>
                    </w:div>
                    <w:div w:id="1007833235">
                      <w:marLeft w:val="0"/>
                      <w:marRight w:val="0"/>
                      <w:marTop w:val="0"/>
                      <w:marBottom w:val="0"/>
                      <w:divBdr>
                        <w:top w:val="none" w:sz="0" w:space="0" w:color="auto"/>
                        <w:left w:val="none" w:sz="0" w:space="0" w:color="auto"/>
                        <w:bottom w:val="none" w:sz="0" w:space="0" w:color="auto"/>
                        <w:right w:val="none" w:sz="0" w:space="0" w:color="auto"/>
                      </w:divBdr>
                    </w:div>
                  </w:divsChild>
                </w:div>
                <w:div w:id="83108661">
                  <w:marLeft w:val="0"/>
                  <w:marRight w:val="0"/>
                  <w:marTop w:val="0"/>
                  <w:marBottom w:val="0"/>
                  <w:divBdr>
                    <w:top w:val="none" w:sz="0" w:space="0" w:color="auto"/>
                    <w:left w:val="none" w:sz="0" w:space="0" w:color="auto"/>
                    <w:bottom w:val="none" w:sz="0" w:space="0" w:color="auto"/>
                    <w:right w:val="none" w:sz="0" w:space="0" w:color="auto"/>
                  </w:divBdr>
                  <w:divsChild>
                    <w:div w:id="173343669">
                      <w:marLeft w:val="0"/>
                      <w:marRight w:val="0"/>
                      <w:marTop w:val="0"/>
                      <w:marBottom w:val="0"/>
                      <w:divBdr>
                        <w:top w:val="none" w:sz="0" w:space="0" w:color="auto"/>
                        <w:left w:val="none" w:sz="0" w:space="0" w:color="auto"/>
                        <w:bottom w:val="none" w:sz="0" w:space="0" w:color="auto"/>
                        <w:right w:val="none" w:sz="0" w:space="0" w:color="auto"/>
                      </w:divBdr>
                    </w:div>
                    <w:div w:id="1353343759">
                      <w:marLeft w:val="0"/>
                      <w:marRight w:val="0"/>
                      <w:marTop w:val="0"/>
                      <w:marBottom w:val="0"/>
                      <w:divBdr>
                        <w:top w:val="none" w:sz="0" w:space="0" w:color="auto"/>
                        <w:left w:val="none" w:sz="0" w:space="0" w:color="auto"/>
                        <w:bottom w:val="none" w:sz="0" w:space="0" w:color="auto"/>
                        <w:right w:val="none" w:sz="0" w:space="0" w:color="auto"/>
                      </w:divBdr>
                    </w:div>
                    <w:div w:id="1401322140">
                      <w:marLeft w:val="0"/>
                      <w:marRight w:val="0"/>
                      <w:marTop w:val="0"/>
                      <w:marBottom w:val="0"/>
                      <w:divBdr>
                        <w:top w:val="none" w:sz="0" w:space="0" w:color="auto"/>
                        <w:left w:val="none" w:sz="0" w:space="0" w:color="auto"/>
                        <w:bottom w:val="none" w:sz="0" w:space="0" w:color="auto"/>
                        <w:right w:val="none" w:sz="0" w:space="0" w:color="auto"/>
                      </w:divBdr>
                    </w:div>
                    <w:div w:id="1904367482">
                      <w:marLeft w:val="0"/>
                      <w:marRight w:val="0"/>
                      <w:marTop w:val="0"/>
                      <w:marBottom w:val="0"/>
                      <w:divBdr>
                        <w:top w:val="none" w:sz="0" w:space="0" w:color="auto"/>
                        <w:left w:val="none" w:sz="0" w:space="0" w:color="auto"/>
                        <w:bottom w:val="none" w:sz="0" w:space="0" w:color="auto"/>
                        <w:right w:val="none" w:sz="0" w:space="0" w:color="auto"/>
                      </w:divBdr>
                    </w:div>
                  </w:divsChild>
                </w:div>
                <w:div w:id="1900968952">
                  <w:marLeft w:val="0"/>
                  <w:marRight w:val="0"/>
                  <w:marTop w:val="0"/>
                  <w:marBottom w:val="0"/>
                  <w:divBdr>
                    <w:top w:val="none" w:sz="0" w:space="0" w:color="auto"/>
                    <w:left w:val="none" w:sz="0" w:space="0" w:color="auto"/>
                    <w:bottom w:val="none" w:sz="0" w:space="0" w:color="auto"/>
                    <w:right w:val="none" w:sz="0" w:space="0" w:color="auto"/>
                  </w:divBdr>
                  <w:divsChild>
                    <w:div w:id="1066489315">
                      <w:marLeft w:val="0"/>
                      <w:marRight w:val="0"/>
                      <w:marTop w:val="0"/>
                      <w:marBottom w:val="0"/>
                      <w:divBdr>
                        <w:top w:val="none" w:sz="0" w:space="0" w:color="auto"/>
                        <w:left w:val="none" w:sz="0" w:space="0" w:color="auto"/>
                        <w:bottom w:val="none" w:sz="0" w:space="0" w:color="auto"/>
                        <w:right w:val="none" w:sz="0" w:space="0" w:color="auto"/>
                      </w:divBdr>
                    </w:div>
                    <w:div w:id="380901766">
                      <w:marLeft w:val="0"/>
                      <w:marRight w:val="0"/>
                      <w:marTop w:val="0"/>
                      <w:marBottom w:val="0"/>
                      <w:divBdr>
                        <w:top w:val="none" w:sz="0" w:space="0" w:color="auto"/>
                        <w:left w:val="none" w:sz="0" w:space="0" w:color="auto"/>
                        <w:bottom w:val="none" w:sz="0" w:space="0" w:color="auto"/>
                        <w:right w:val="none" w:sz="0" w:space="0" w:color="auto"/>
                      </w:divBdr>
                    </w:div>
                    <w:div w:id="1082802351">
                      <w:marLeft w:val="0"/>
                      <w:marRight w:val="0"/>
                      <w:marTop w:val="0"/>
                      <w:marBottom w:val="0"/>
                      <w:divBdr>
                        <w:top w:val="none" w:sz="0" w:space="0" w:color="auto"/>
                        <w:left w:val="none" w:sz="0" w:space="0" w:color="auto"/>
                        <w:bottom w:val="none" w:sz="0" w:space="0" w:color="auto"/>
                        <w:right w:val="none" w:sz="0" w:space="0" w:color="auto"/>
                      </w:divBdr>
                    </w:div>
                    <w:div w:id="416026544">
                      <w:marLeft w:val="0"/>
                      <w:marRight w:val="0"/>
                      <w:marTop w:val="0"/>
                      <w:marBottom w:val="0"/>
                      <w:divBdr>
                        <w:top w:val="none" w:sz="0" w:space="0" w:color="auto"/>
                        <w:left w:val="none" w:sz="0" w:space="0" w:color="auto"/>
                        <w:bottom w:val="none" w:sz="0" w:space="0" w:color="auto"/>
                        <w:right w:val="none" w:sz="0" w:space="0" w:color="auto"/>
                      </w:divBdr>
                    </w:div>
                  </w:divsChild>
                </w:div>
                <w:div w:id="2105612840">
                  <w:marLeft w:val="0"/>
                  <w:marRight w:val="0"/>
                  <w:marTop w:val="0"/>
                  <w:marBottom w:val="0"/>
                  <w:divBdr>
                    <w:top w:val="none" w:sz="0" w:space="0" w:color="auto"/>
                    <w:left w:val="none" w:sz="0" w:space="0" w:color="auto"/>
                    <w:bottom w:val="none" w:sz="0" w:space="0" w:color="auto"/>
                    <w:right w:val="none" w:sz="0" w:space="0" w:color="auto"/>
                  </w:divBdr>
                  <w:divsChild>
                    <w:div w:id="2039890005">
                      <w:marLeft w:val="0"/>
                      <w:marRight w:val="0"/>
                      <w:marTop w:val="0"/>
                      <w:marBottom w:val="0"/>
                      <w:divBdr>
                        <w:top w:val="none" w:sz="0" w:space="0" w:color="auto"/>
                        <w:left w:val="none" w:sz="0" w:space="0" w:color="auto"/>
                        <w:bottom w:val="none" w:sz="0" w:space="0" w:color="auto"/>
                        <w:right w:val="none" w:sz="0" w:space="0" w:color="auto"/>
                      </w:divBdr>
                    </w:div>
                    <w:div w:id="325323843">
                      <w:marLeft w:val="0"/>
                      <w:marRight w:val="0"/>
                      <w:marTop w:val="0"/>
                      <w:marBottom w:val="0"/>
                      <w:divBdr>
                        <w:top w:val="none" w:sz="0" w:space="0" w:color="auto"/>
                        <w:left w:val="none" w:sz="0" w:space="0" w:color="auto"/>
                        <w:bottom w:val="none" w:sz="0" w:space="0" w:color="auto"/>
                        <w:right w:val="none" w:sz="0" w:space="0" w:color="auto"/>
                      </w:divBdr>
                    </w:div>
                    <w:div w:id="1910000037">
                      <w:marLeft w:val="0"/>
                      <w:marRight w:val="0"/>
                      <w:marTop w:val="0"/>
                      <w:marBottom w:val="0"/>
                      <w:divBdr>
                        <w:top w:val="none" w:sz="0" w:space="0" w:color="auto"/>
                        <w:left w:val="none" w:sz="0" w:space="0" w:color="auto"/>
                        <w:bottom w:val="none" w:sz="0" w:space="0" w:color="auto"/>
                        <w:right w:val="none" w:sz="0" w:space="0" w:color="auto"/>
                      </w:divBdr>
                    </w:div>
                    <w:div w:id="1383822150">
                      <w:marLeft w:val="0"/>
                      <w:marRight w:val="0"/>
                      <w:marTop w:val="0"/>
                      <w:marBottom w:val="0"/>
                      <w:divBdr>
                        <w:top w:val="none" w:sz="0" w:space="0" w:color="auto"/>
                        <w:left w:val="none" w:sz="0" w:space="0" w:color="auto"/>
                        <w:bottom w:val="none" w:sz="0" w:space="0" w:color="auto"/>
                        <w:right w:val="none" w:sz="0" w:space="0" w:color="auto"/>
                      </w:divBdr>
                    </w:div>
                  </w:divsChild>
                </w:div>
                <w:div w:id="1328047511">
                  <w:marLeft w:val="0"/>
                  <w:marRight w:val="0"/>
                  <w:marTop w:val="0"/>
                  <w:marBottom w:val="0"/>
                  <w:divBdr>
                    <w:top w:val="none" w:sz="0" w:space="0" w:color="auto"/>
                    <w:left w:val="none" w:sz="0" w:space="0" w:color="auto"/>
                    <w:bottom w:val="none" w:sz="0" w:space="0" w:color="auto"/>
                    <w:right w:val="none" w:sz="0" w:space="0" w:color="auto"/>
                  </w:divBdr>
                  <w:divsChild>
                    <w:div w:id="14787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116591">
          <w:marLeft w:val="0"/>
          <w:marRight w:val="0"/>
          <w:marTop w:val="0"/>
          <w:marBottom w:val="0"/>
          <w:divBdr>
            <w:top w:val="none" w:sz="0" w:space="0" w:color="auto"/>
            <w:left w:val="none" w:sz="0" w:space="0" w:color="auto"/>
            <w:bottom w:val="none" w:sz="0" w:space="0" w:color="auto"/>
            <w:right w:val="none" w:sz="0" w:space="0" w:color="auto"/>
          </w:divBdr>
          <w:divsChild>
            <w:div w:id="993340838">
              <w:marLeft w:val="0"/>
              <w:marRight w:val="0"/>
              <w:marTop w:val="0"/>
              <w:marBottom w:val="0"/>
              <w:divBdr>
                <w:top w:val="none" w:sz="0" w:space="0" w:color="auto"/>
                <w:left w:val="none" w:sz="0" w:space="0" w:color="auto"/>
                <w:bottom w:val="none" w:sz="0" w:space="0" w:color="auto"/>
                <w:right w:val="none" w:sz="0" w:space="0" w:color="auto"/>
              </w:divBdr>
              <w:divsChild>
                <w:div w:id="1343512647">
                  <w:marLeft w:val="0"/>
                  <w:marRight w:val="0"/>
                  <w:marTop w:val="0"/>
                  <w:marBottom w:val="0"/>
                  <w:divBdr>
                    <w:top w:val="none" w:sz="0" w:space="0" w:color="auto"/>
                    <w:left w:val="none" w:sz="0" w:space="0" w:color="auto"/>
                    <w:bottom w:val="none" w:sz="0" w:space="0" w:color="auto"/>
                    <w:right w:val="none" w:sz="0" w:space="0" w:color="auto"/>
                  </w:divBdr>
                </w:div>
              </w:divsChild>
            </w:div>
            <w:div w:id="255021622">
              <w:marLeft w:val="0"/>
              <w:marRight w:val="0"/>
              <w:marTop w:val="0"/>
              <w:marBottom w:val="0"/>
              <w:divBdr>
                <w:top w:val="none" w:sz="0" w:space="0" w:color="auto"/>
                <w:left w:val="none" w:sz="0" w:space="0" w:color="auto"/>
                <w:bottom w:val="none" w:sz="0" w:space="0" w:color="auto"/>
                <w:right w:val="none" w:sz="0" w:space="0" w:color="auto"/>
              </w:divBdr>
              <w:divsChild>
                <w:div w:id="1348211399">
                  <w:marLeft w:val="0"/>
                  <w:marRight w:val="0"/>
                  <w:marTop w:val="0"/>
                  <w:marBottom w:val="0"/>
                  <w:divBdr>
                    <w:top w:val="none" w:sz="0" w:space="0" w:color="auto"/>
                    <w:left w:val="none" w:sz="0" w:space="0" w:color="auto"/>
                    <w:bottom w:val="none" w:sz="0" w:space="0" w:color="auto"/>
                    <w:right w:val="none" w:sz="0" w:space="0" w:color="auto"/>
                  </w:divBdr>
                </w:div>
                <w:div w:id="1804421913">
                  <w:marLeft w:val="0"/>
                  <w:marRight w:val="0"/>
                  <w:marTop w:val="0"/>
                  <w:marBottom w:val="0"/>
                  <w:divBdr>
                    <w:top w:val="none" w:sz="0" w:space="0" w:color="auto"/>
                    <w:left w:val="none" w:sz="0" w:space="0" w:color="auto"/>
                    <w:bottom w:val="none" w:sz="0" w:space="0" w:color="auto"/>
                    <w:right w:val="none" w:sz="0" w:space="0" w:color="auto"/>
                  </w:divBdr>
                </w:div>
              </w:divsChild>
            </w:div>
            <w:div w:id="1312978461">
              <w:marLeft w:val="0"/>
              <w:marRight w:val="0"/>
              <w:marTop w:val="0"/>
              <w:marBottom w:val="0"/>
              <w:divBdr>
                <w:top w:val="none" w:sz="0" w:space="0" w:color="auto"/>
                <w:left w:val="none" w:sz="0" w:space="0" w:color="auto"/>
                <w:bottom w:val="none" w:sz="0" w:space="0" w:color="auto"/>
                <w:right w:val="none" w:sz="0" w:space="0" w:color="auto"/>
              </w:divBdr>
              <w:divsChild>
                <w:div w:id="198782963">
                  <w:marLeft w:val="0"/>
                  <w:marRight w:val="0"/>
                  <w:marTop w:val="0"/>
                  <w:marBottom w:val="0"/>
                  <w:divBdr>
                    <w:top w:val="none" w:sz="0" w:space="0" w:color="auto"/>
                    <w:left w:val="none" w:sz="0" w:space="0" w:color="auto"/>
                    <w:bottom w:val="none" w:sz="0" w:space="0" w:color="auto"/>
                    <w:right w:val="none" w:sz="0" w:space="0" w:color="auto"/>
                  </w:divBdr>
                </w:div>
                <w:div w:id="741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481827">
          <w:marLeft w:val="0"/>
          <w:marRight w:val="0"/>
          <w:marTop w:val="0"/>
          <w:marBottom w:val="0"/>
          <w:divBdr>
            <w:top w:val="none" w:sz="0" w:space="0" w:color="auto"/>
            <w:left w:val="none" w:sz="0" w:space="0" w:color="auto"/>
            <w:bottom w:val="none" w:sz="0" w:space="0" w:color="auto"/>
            <w:right w:val="none" w:sz="0" w:space="0" w:color="auto"/>
          </w:divBdr>
          <w:divsChild>
            <w:div w:id="364059980">
              <w:marLeft w:val="0"/>
              <w:marRight w:val="0"/>
              <w:marTop w:val="0"/>
              <w:marBottom w:val="0"/>
              <w:divBdr>
                <w:top w:val="none" w:sz="0" w:space="0" w:color="auto"/>
                <w:left w:val="none" w:sz="0" w:space="0" w:color="auto"/>
                <w:bottom w:val="none" w:sz="0" w:space="0" w:color="auto"/>
                <w:right w:val="none" w:sz="0" w:space="0" w:color="auto"/>
              </w:divBdr>
              <w:divsChild>
                <w:div w:id="759642399">
                  <w:marLeft w:val="0"/>
                  <w:marRight w:val="0"/>
                  <w:marTop w:val="0"/>
                  <w:marBottom w:val="0"/>
                  <w:divBdr>
                    <w:top w:val="none" w:sz="0" w:space="0" w:color="auto"/>
                    <w:left w:val="none" w:sz="0" w:space="0" w:color="auto"/>
                    <w:bottom w:val="none" w:sz="0" w:space="0" w:color="auto"/>
                    <w:right w:val="none" w:sz="0" w:space="0" w:color="auto"/>
                  </w:divBdr>
                </w:div>
                <w:div w:id="1856264876">
                  <w:marLeft w:val="0"/>
                  <w:marRight w:val="0"/>
                  <w:marTop w:val="0"/>
                  <w:marBottom w:val="0"/>
                  <w:divBdr>
                    <w:top w:val="none" w:sz="0" w:space="0" w:color="auto"/>
                    <w:left w:val="none" w:sz="0" w:space="0" w:color="auto"/>
                    <w:bottom w:val="none" w:sz="0" w:space="0" w:color="auto"/>
                    <w:right w:val="none" w:sz="0" w:space="0" w:color="auto"/>
                  </w:divBdr>
                </w:div>
              </w:divsChild>
            </w:div>
            <w:div w:id="1246303995">
              <w:marLeft w:val="0"/>
              <w:marRight w:val="0"/>
              <w:marTop w:val="0"/>
              <w:marBottom w:val="0"/>
              <w:divBdr>
                <w:top w:val="none" w:sz="0" w:space="0" w:color="auto"/>
                <w:left w:val="none" w:sz="0" w:space="0" w:color="auto"/>
                <w:bottom w:val="none" w:sz="0" w:space="0" w:color="auto"/>
                <w:right w:val="none" w:sz="0" w:space="0" w:color="auto"/>
              </w:divBdr>
              <w:divsChild>
                <w:div w:id="1807312865">
                  <w:marLeft w:val="0"/>
                  <w:marRight w:val="0"/>
                  <w:marTop w:val="0"/>
                  <w:marBottom w:val="0"/>
                  <w:divBdr>
                    <w:top w:val="none" w:sz="0" w:space="0" w:color="auto"/>
                    <w:left w:val="none" w:sz="0" w:space="0" w:color="auto"/>
                    <w:bottom w:val="none" w:sz="0" w:space="0" w:color="auto"/>
                    <w:right w:val="none" w:sz="0" w:space="0" w:color="auto"/>
                  </w:divBdr>
                </w:div>
                <w:div w:id="916864226">
                  <w:marLeft w:val="0"/>
                  <w:marRight w:val="0"/>
                  <w:marTop w:val="0"/>
                  <w:marBottom w:val="0"/>
                  <w:divBdr>
                    <w:top w:val="none" w:sz="0" w:space="0" w:color="auto"/>
                    <w:left w:val="none" w:sz="0" w:space="0" w:color="auto"/>
                    <w:bottom w:val="none" w:sz="0" w:space="0" w:color="auto"/>
                    <w:right w:val="none" w:sz="0" w:space="0" w:color="auto"/>
                  </w:divBdr>
                </w:div>
              </w:divsChild>
            </w:div>
            <w:div w:id="1787306943">
              <w:marLeft w:val="0"/>
              <w:marRight w:val="0"/>
              <w:marTop w:val="0"/>
              <w:marBottom w:val="0"/>
              <w:divBdr>
                <w:top w:val="none" w:sz="0" w:space="0" w:color="auto"/>
                <w:left w:val="none" w:sz="0" w:space="0" w:color="auto"/>
                <w:bottom w:val="none" w:sz="0" w:space="0" w:color="auto"/>
                <w:right w:val="none" w:sz="0" w:space="0" w:color="auto"/>
              </w:divBdr>
              <w:divsChild>
                <w:div w:id="61513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53504">
          <w:marLeft w:val="0"/>
          <w:marRight w:val="0"/>
          <w:marTop w:val="0"/>
          <w:marBottom w:val="0"/>
          <w:divBdr>
            <w:top w:val="none" w:sz="0" w:space="0" w:color="auto"/>
            <w:left w:val="none" w:sz="0" w:space="0" w:color="auto"/>
            <w:bottom w:val="none" w:sz="0" w:space="0" w:color="auto"/>
            <w:right w:val="none" w:sz="0" w:space="0" w:color="auto"/>
          </w:divBdr>
          <w:divsChild>
            <w:div w:id="668098110">
              <w:marLeft w:val="0"/>
              <w:marRight w:val="0"/>
              <w:marTop w:val="0"/>
              <w:marBottom w:val="0"/>
              <w:divBdr>
                <w:top w:val="none" w:sz="0" w:space="0" w:color="auto"/>
                <w:left w:val="none" w:sz="0" w:space="0" w:color="auto"/>
                <w:bottom w:val="none" w:sz="0" w:space="0" w:color="auto"/>
                <w:right w:val="none" w:sz="0" w:space="0" w:color="auto"/>
              </w:divBdr>
              <w:divsChild>
                <w:div w:id="531386661">
                  <w:marLeft w:val="0"/>
                  <w:marRight w:val="0"/>
                  <w:marTop w:val="0"/>
                  <w:marBottom w:val="0"/>
                  <w:divBdr>
                    <w:top w:val="none" w:sz="0" w:space="0" w:color="auto"/>
                    <w:left w:val="none" w:sz="0" w:space="0" w:color="auto"/>
                    <w:bottom w:val="none" w:sz="0" w:space="0" w:color="auto"/>
                    <w:right w:val="none" w:sz="0" w:space="0" w:color="auto"/>
                  </w:divBdr>
                </w:div>
              </w:divsChild>
            </w:div>
            <w:div w:id="918170912">
              <w:marLeft w:val="0"/>
              <w:marRight w:val="0"/>
              <w:marTop w:val="0"/>
              <w:marBottom w:val="0"/>
              <w:divBdr>
                <w:top w:val="none" w:sz="0" w:space="0" w:color="auto"/>
                <w:left w:val="none" w:sz="0" w:space="0" w:color="auto"/>
                <w:bottom w:val="none" w:sz="0" w:space="0" w:color="auto"/>
                <w:right w:val="none" w:sz="0" w:space="0" w:color="auto"/>
              </w:divBdr>
              <w:divsChild>
                <w:div w:id="659387134">
                  <w:marLeft w:val="0"/>
                  <w:marRight w:val="0"/>
                  <w:marTop w:val="0"/>
                  <w:marBottom w:val="0"/>
                  <w:divBdr>
                    <w:top w:val="none" w:sz="0" w:space="0" w:color="auto"/>
                    <w:left w:val="none" w:sz="0" w:space="0" w:color="auto"/>
                    <w:bottom w:val="none" w:sz="0" w:space="0" w:color="auto"/>
                    <w:right w:val="none" w:sz="0" w:space="0" w:color="auto"/>
                  </w:divBdr>
                </w:div>
                <w:div w:id="550726738">
                  <w:marLeft w:val="0"/>
                  <w:marRight w:val="0"/>
                  <w:marTop w:val="0"/>
                  <w:marBottom w:val="0"/>
                  <w:divBdr>
                    <w:top w:val="none" w:sz="0" w:space="0" w:color="auto"/>
                    <w:left w:val="none" w:sz="0" w:space="0" w:color="auto"/>
                    <w:bottom w:val="none" w:sz="0" w:space="0" w:color="auto"/>
                    <w:right w:val="none" w:sz="0" w:space="0" w:color="auto"/>
                  </w:divBdr>
                </w:div>
              </w:divsChild>
            </w:div>
            <w:div w:id="364906811">
              <w:marLeft w:val="0"/>
              <w:marRight w:val="0"/>
              <w:marTop w:val="0"/>
              <w:marBottom w:val="0"/>
              <w:divBdr>
                <w:top w:val="none" w:sz="0" w:space="0" w:color="auto"/>
                <w:left w:val="none" w:sz="0" w:space="0" w:color="auto"/>
                <w:bottom w:val="none" w:sz="0" w:space="0" w:color="auto"/>
                <w:right w:val="none" w:sz="0" w:space="0" w:color="auto"/>
              </w:divBdr>
              <w:divsChild>
                <w:div w:id="787821273">
                  <w:marLeft w:val="0"/>
                  <w:marRight w:val="0"/>
                  <w:marTop w:val="0"/>
                  <w:marBottom w:val="0"/>
                  <w:divBdr>
                    <w:top w:val="none" w:sz="0" w:space="0" w:color="auto"/>
                    <w:left w:val="none" w:sz="0" w:space="0" w:color="auto"/>
                    <w:bottom w:val="none" w:sz="0" w:space="0" w:color="auto"/>
                    <w:right w:val="none" w:sz="0" w:space="0" w:color="auto"/>
                  </w:divBdr>
                </w:div>
                <w:div w:id="128616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919502">
          <w:marLeft w:val="0"/>
          <w:marRight w:val="0"/>
          <w:marTop w:val="0"/>
          <w:marBottom w:val="0"/>
          <w:divBdr>
            <w:top w:val="none" w:sz="0" w:space="0" w:color="auto"/>
            <w:left w:val="none" w:sz="0" w:space="0" w:color="auto"/>
            <w:bottom w:val="none" w:sz="0" w:space="0" w:color="auto"/>
            <w:right w:val="none" w:sz="0" w:space="0" w:color="auto"/>
          </w:divBdr>
          <w:divsChild>
            <w:div w:id="194972429">
              <w:marLeft w:val="0"/>
              <w:marRight w:val="0"/>
              <w:marTop w:val="0"/>
              <w:marBottom w:val="0"/>
              <w:divBdr>
                <w:top w:val="none" w:sz="0" w:space="0" w:color="auto"/>
                <w:left w:val="none" w:sz="0" w:space="0" w:color="auto"/>
                <w:bottom w:val="none" w:sz="0" w:space="0" w:color="auto"/>
                <w:right w:val="none" w:sz="0" w:space="0" w:color="auto"/>
              </w:divBdr>
              <w:divsChild>
                <w:div w:id="485127014">
                  <w:marLeft w:val="0"/>
                  <w:marRight w:val="0"/>
                  <w:marTop w:val="0"/>
                  <w:marBottom w:val="0"/>
                  <w:divBdr>
                    <w:top w:val="none" w:sz="0" w:space="0" w:color="auto"/>
                    <w:left w:val="none" w:sz="0" w:space="0" w:color="auto"/>
                    <w:bottom w:val="none" w:sz="0" w:space="0" w:color="auto"/>
                    <w:right w:val="none" w:sz="0" w:space="0" w:color="auto"/>
                  </w:divBdr>
                </w:div>
                <w:div w:id="1140348364">
                  <w:marLeft w:val="0"/>
                  <w:marRight w:val="0"/>
                  <w:marTop w:val="0"/>
                  <w:marBottom w:val="0"/>
                  <w:divBdr>
                    <w:top w:val="none" w:sz="0" w:space="0" w:color="auto"/>
                    <w:left w:val="none" w:sz="0" w:space="0" w:color="auto"/>
                    <w:bottom w:val="none" w:sz="0" w:space="0" w:color="auto"/>
                    <w:right w:val="none" w:sz="0" w:space="0" w:color="auto"/>
                  </w:divBdr>
                </w:div>
              </w:divsChild>
            </w:div>
            <w:div w:id="304773234">
              <w:marLeft w:val="0"/>
              <w:marRight w:val="0"/>
              <w:marTop w:val="0"/>
              <w:marBottom w:val="0"/>
              <w:divBdr>
                <w:top w:val="none" w:sz="0" w:space="0" w:color="auto"/>
                <w:left w:val="none" w:sz="0" w:space="0" w:color="auto"/>
                <w:bottom w:val="none" w:sz="0" w:space="0" w:color="auto"/>
                <w:right w:val="none" w:sz="0" w:space="0" w:color="auto"/>
              </w:divBdr>
              <w:divsChild>
                <w:div w:id="98066822">
                  <w:marLeft w:val="0"/>
                  <w:marRight w:val="0"/>
                  <w:marTop w:val="0"/>
                  <w:marBottom w:val="0"/>
                  <w:divBdr>
                    <w:top w:val="none" w:sz="0" w:space="0" w:color="auto"/>
                    <w:left w:val="none" w:sz="0" w:space="0" w:color="auto"/>
                    <w:bottom w:val="none" w:sz="0" w:space="0" w:color="auto"/>
                    <w:right w:val="none" w:sz="0" w:space="0" w:color="auto"/>
                  </w:divBdr>
                </w:div>
                <w:div w:id="1739590287">
                  <w:marLeft w:val="0"/>
                  <w:marRight w:val="0"/>
                  <w:marTop w:val="0"/>
                  <w:marBottom w:val="0"/>
                  <w:divBdr>
                    <w:top w:val="none" w:sz="0" w:space="0" w:color="auto"/>
                    <w:left w:val="none" w:sz="0" w:space="0" w:color="auto"/>
                    <w:bottom w:val="none" w:sz="0" w:space="0" w:color="auto"/>
                    <w:right w:val="none" w:sz="0" w:space="0" w:color="auto"/>
                  </w:divBdr>
                </w:div>
              </w:divsChild>
            </w:div>
            <w:div w:id="824128411">
              <w:marLeft w:val="0"/>
              <w:marRight w:val="0"/>
              <w:marTop w:val="0"/>
              <w:marBottom w:val="0"/>
              <w:divBdr>
                <w:top w:val="none" w:sz="0" w:space="0" w:color="auto"/>
                <w:left w:val="none" w:sz="0" w:space="0" w:color="auto"/>
                <w:bottom w:val="none" w:sz="0" w:space="0" w:color="auto"/>
                <w:right w:val="none" w:sz="0" w:space="0" w:color="auto"/>
              </w:divBdr>
              <w:divsChild>
                <w:div w:id="121570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21630">
          <w:marLeft w:val="0"/>
          <w:marRight w:val="0"/>
          <w:marTop w:val="0"/>
          <w:marBottom w:val="0"/>
          <w:divBdr>
            <w:top w:val="none" w:sz="0" w:space="0" w:color="auto"/>
            <w:left w:val="none" w:sz="0" w:space="0" w:color="auto"/>
            <w:bottom w:val="none" w:sz="0" w:space="0" w:color="auto"/>
            <w:right w:val="none" w:sz="0" w:space="0" w:color="auto"/>
          </w:divBdr>
          <w:divsChild>
            <w:div w:id="676348552">
              <w:marLeft w:val="0"/>
              <w:marRight w:val="0"/>
              <w:marTop w:val="0"/>
              <w:marBottom w:val="0"/>
              <w:divBdr>
                <w:top w:val="none" w:sz="0" w:space="0" w:color="auto"/>
                <w:left w:val="none" w:sz="0" w:space="0" w:color="auto"/>
                <w:bottom w:val="none" w:sz="0" w:space="0" w:color="auto"/>
                <w:right w:val="none" w:sz="0" w:space="0" w:color="auto"/>
              </w:divBdr>
              <w:divsChild>
                <w:div w:id="690839049">
                  <w:marLeft w:val="0"/>
                  <w:marRight w:val="0"/>
                  <w:marTop w:val="0"/>
                  <w:marBottom w:val="0"/>
                  <w:divBdr>
                    <w:top w:val="none" w:sz="0" w:space="0" w:color="auto"/>
                    <w:left w:val="none" w:sz="0" w:space="0" w:color="auto"/>
                    <w:bottom w:val="none" w:sz="0" w:space="0" w:color="auto"/>
                    <w:right w:val="none" w:sz="0" w:space="0" w:color="auto"/>
                  </w:divBdr>
                </w:div>
              </w:divsChild>
            </w:div>
            <w:div w:id="1810586717">
              <w:marLeft w:val="0"/>
              <w:marRight w:val="0"/>
              <w:marTop w:val="0"/>
              <w:marBottom w:val="0"/>
              <w:divBdr>
                <w:top w:val="none" w:sz="0" w:space="0" w:color="auto"/>
                <w:left w:val="none" w:sz="0" w:space="0" w:color="auto"/>
                <w:bottom w:val="none" w:sz="0" w:space="0" w:color="auto"/>
                <w:right w:val="none" w:sz="0" w:space="0" w:color="auto"/>
              </w:divBdr>
              <w:divsChild>
                <w:div w:id="1938518029">
                  <w:marLeft w:val="0"/>
                  <w:marRight w:val="0"/>
                  <w:marTop w:val="0"/>
                  <w:marBottom w:val="0"/>
                  <w:divBdr>
                    <w:top w:val="none" w:sz="0" w:space="0" w:color="auto"/>
                    <w:left w:val="none" w:sz="0" w:space="0" w:color="auto"/>
                    <w:bottom w:val="none" w:sz="0" w:space="0" w:color="auto"/>
                    <w:right w:val="none" w:sz="0" w:space="0" w:color="auto"/>
                  </w:divBdr>
                </w:div>
                <w:div w:id="1514610436">
                  <w:marLeft w:val="0"/>
                  <w:marRight w:val="0"/>
                  <w:marTop w:val="0"/>
                  <w:marBottom w:val="0"/>
                  <w:divBdr>
                    <w:top w:val="none" w:sz="0" w:space="0" w:color="auto"/>
                    <w:left w:val="none" w:sz="0" w:space="0" w:color="auto"/>
                    <w:bottom w:val="none" w:sz="0" w:space="0" w:color="auto"/>
                    <w:right w:val="none" w:sz="0" w:space="0" w:color="auto"/>
                  </w:divBdr>
                </w:div>
              </w:divsChild>
            </w:div>
            <w:div w:id="602539585">
              <w:marLeft w:val="0"/>
              <w:marRight w:val="0"/>
              <w:marTop w:val="0"/>
              <w:marBottom w:val="0"/>
              <w:divBdr>
                <w:top w:val="none" w:sz="0" w:space="0" w:color="auto"/>
                <w:left w:val="none" w:sz="0" w:space="0" w:color="auto"/>
                <w:bottom w:val="none" w:sz="0" w:space="0" w:color="auto"/>
                <w:right w:val="none" w:sz="0" w:space="0" w:color="auto"/>
              </w:divBdr>
              <w:divsChild>
                <w:div w:id="1902322703">
                  <w:marLeft w:val="0"/>
                  <w:marRight w:val="0"/>
                  <w:marTop w:val="0"/>
                  <w:marBottom w:val="0"/>
                  <w:divBdr>
                    <w:top w:val="none" w:sz="0" w:space="0" w:color="auto"/>
                    <w:left w:val="none" w:sz="0" w:space="0" w:color="auto"/>
                    <w:bottom w:val="none" w:sz="0" w:space="0" w:color="auto"/>
                    <w:right w:val="none" w:sz="0" w:space="0" w:color="auto"/>
                  </w:divBdr>
                </w:div>
                <w:div w:id="195986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12915</Words>
  <Characters>73619</Characters>
  <Application>Microsoft Office Word</Application>
  <DocSecurity>0</DocSecurity>
  <Lines>613</Lines>
  <Paragraphs>172</Paragraphs>
  <ScaleCrop>false</ScaleCrop>
  <Company/>
  <LinksUpToDate>false</LinksUpToDate>
  <CharactersWithSpaces>86362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2020-09-15T02:52:00Z</dcterms:created>
  <dcterms:modified xsi:type="dcterms:W3CDTF">2020-09-15T02:52:00Z</dcterms:modified>
</cp:coreProperties>
</file>