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AE8" w:rsidRPr="00FB78E2" w:rsidRDefault="00CB2AE8" w:rsidP="00CB2AE8">
      <w:pPr>
        <w:spacing w:line="480" w:lineRule="auto"/>
        <w:rPr>
          <w:rFonts w:ascii="Times New Roman" w:hAnsi="Times New Roman" w:cs="Times New Roman"/>
          <w:b/>
          <w:sz w:val="24"/>
          <w:szCs w:val="24"/>
        </w:rPr>
      </w:pPr>
    </w:p>
    <w:p w:rsidR="00CB2AE8" w:rsidRPr="00FB78E2" w:rsidRDefault="00CB2AE8" w:rsidP="00CB2AE8">
      <w:pPr>
        <w:spacing w:line="480" w:lineRule="auto"/>
        <w:jc w:val="center"/>
        <w:rPr>
          <w:rFonts w:ascii="Times New Roman" w:hAnsi="Times New Roman" w:cs="Times New Roman"/>
          <w:b/>
          <w:sz w:val="24"/>
          <w:szCs w:val="24"/>
        </w:rPr>
      </w:pPr>
    </w:p>
    <w:p w:rsidR="00CB2AE8" w:rsidRDefault="00CB2AE8" w:rsidP="00CB2AE8">
      <w:pPr>
        <w:spacing w:line="480" w:lineRule="auto"/>
        <w:rPr>
          <w:rFonts w:ascii="Times New Roman" w:hAnsi="Times New Roman" w:cs="Times New Roman"/>
          <w:b/>
          <w:sz w:val="24"/>
          <w:szCs w:val="24"/>
        </w:rPr>
      </w:pPr>
    </w:p>
    <w:p w:rsidR="00CB2AE8" w:rsidRPr="00FB78E2" w:rsidRDefault="00CB2AE8" w:rsidP="00CB2AE8">
      <w:pPr>
        <w:spacing w:line="480" w:lineRule="auto"/>
        <w:rPr>
          <w:rFonts w:ascii="Times New Roman" w:hAnsi="Times New Roman" w:cs="Times New Roman"/>
          <w:b/>
          <w:sz w:val="24"/>
          <w:szCs w:val="24"/>
        </w:rPr>
      </w:pPr>
      <w:bookmarkStart w:id="0" w:name="_GoBack"/>
      <w:bookmarkEnd w:id="0"/>
    </w:p>
    <w:p w:rsidR="00CB2AE8" w:rsidRPr="00FB78E2" w:rsidRDefault="00CB2AE8" w:rsidP="00CB2AE8">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Changing Dynamics and Students’ Perceptions of Online Higher Education</w:t>
      </w:r>
    </w:p>
    <w:p w:rsidR="00CB2AE8" w:rsidRPr="00FB78E2" w:rsidRDefault="00CB2AE8" w:rsidP="00CB2AE8">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 xml:space="preserve">Student’s Name </w:t>
      </w:r>
    </w:p>
    <w:p w:rsidR="00CB2AE8" w:rsidRPr="00FB78E2" w:rsidRDefault="00CB2AE8" w:rsidP="00CB2AE8">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 xml:space="preserve">Instructor’s Name </w:t>
      </w:r>
    </w:p>
    <w:p w:rsidR="00CB2AE8" w:rsidRPr="00FB78E2" w:rsidRDefault="00CB2AE8" w:rsidP="00CB2AE8">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 xml:space="preserve">Date </w:t>
      </w:r>
    </w:p>
    <w:p w:rsidR="00CB2AE8" w:rsidRPr="00FB78E2" w:rsidRDefault="00CB2AE8" w:rsidP="00CB2AE8">
      <w:pPr>
        <w:spacing w:line="480" w:lineRule="auto"/>
        <w:rPr>
          <w:rFonts w:ascii="Times New Roman" w:hAnsi="Times New Roman" w:cs="Times New Roman"/>
          <w:b/>
          <w:sz w:val="24"/>
          <w:szCs w:val="24"/>
        </w:rPr>
      </w:pPr>
    </w:p>
    <w:p w:rsidR="00CB2AE8" w:rsidRPr="00FB78E2" w:rsidRDefault="00CB2AE8" w:rsidP="00CB2AE8">
      <w:pPr>
        <w:spacing w:line="480" w:lineRule="auto"/>
        <w:rPr>
          <w:rFonts w:ascii="Times New Roman" w:hAnsi="Times New Roman" w:cs="Times New Roman"/>
          <w:b/>
          <w:sz w:val="24"/>
          <w:szCs w:val="24"/>
        </w:rPr>
      </w:pPr>
    </w:p>
    <w:p w:rsidR="00CB2AE8" w:rsidRPr="00FB78E2" w:rsidRDefault="00CB2AE8" w:rsidP="00CB2AE8">
      <w:pPr>
        <w:spacing w:line="480" w:lineRule="auto"/>
        <w:rPr>
          <w:rFonts w:ascii="Times New Roman" w:hAnsi="Times New Roman" w:cs="Times New Roman"/>
          <w:b/>
          <w:sz w:val="24"/>
          <w:szCs w:val="24"/>
        </w:rPr>
      </w:pPr>
    </w:p>
    <w:p w:rsidR="00CB2AE8" w:rsidRPr="00FB78E2" w:rsidRDefault="00CB2AE8" w:rsidP="00CB2AE8">
      <w:pPr>
        <w:spacing w:line="480" w:lineRule="auto"/>
        <w:rPr>
          <w:rFonts w:ascii="Times New Roman" w:hAnsi="Times New Roman" w:cs="Times New Roman"/>
          <w:b/>
          <w:sz w:val="24"/>
          <w:szCs w:val="24"/>
        </w:rPr>
      </w:pPr>
    </w:p>
    <w:p w:rsidR="00CB2AE8" w:rsidRPr="00FB78E2" w:rsidRDefault="00CB2AE8" w:rsidP="00CB2AE8">
      <w:pPr>
        <w:spacing w:line="480" w:lineRule="auto"/>
        <w:rPr>
          <w:rFonts w:ascii="Times New Roman" w:eastAsia="Calibri" w:hAnsi="Times New Roman" w:cs="Times New Roman"/>
          <w:bCs/>
          <w:color w:val="000000"/>
          <w:sz w:val="24"/>
          <w:szCs w:val="24"/>
          <w:u w:color="000000"/>
        </w:rPr>
      </w:pPr>
      <w:r w:rsidRPr="00FB78E2">
        <w:rPr>
          <w:rFonts w:ascii="Times New Roman" w:hAnsi="Times New Roman" w:cs="Times New Roman"/>
          <w:bCs/>
          <w:sz w:val="24"/>
          <w:szCs w:val="24"/>
        </w:rPr>
        <w:br w:type="page"/>
      </w:r>
    </w:p>
    <w:p w:rsidR="00CB2AE8" w:rsidRPr="00FB78E2" w:rsidRDefault="00CB2AE8" w:rsidP="00CB2AE8">
      <w:pPr>
        <w:pStyle w:val="Body"/>
        <w:spacing w:line="480" w:lineRule="auto"/>
        <w:jc w:val="center"/>
        <w:rPr>
          <w:rFonts w:ascii="Times New Roman" w:eastAsia="Times New Roman" w:hAnsi="Times New Roman" w:cs="Times New Roman"/>
          <w:bCs/>
          <w:sz w:val="24"/>
          <w:szCs w:val="24"/>
        </w:rPr>
      </w:pPr>
      <w:r w:rsidRPr="00FB78E2">
        <w:rPr>
          <w:rFonts w:ascii="Times New Roman" w:hAnsi="Times New Roman" w:cs="Times New Roman"/>
          <w:bCs/>
          <w:sz w:val="24"/>
          <w:szCs w:val="24"/>
        </w:rPr>
        <w:lastRenderedPageBreak/>
        <w:t>Changing Dynamics and Students’ Perceptions of Online Higher Education</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Chapter 3: Quantitative Research Methodology</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Introduction</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The literature review in Chapter 2 on students’ perceptions of online social work education clearly discussed the significance and importance of online programs in higher education. These two fields, the field of student’s perceptions of online social work education and online programs in higher education covered in Chapter 1, which give the underlying basis applied in the research methodology for this dissertation. These two crucial fields have provided the research breadth and depth, as well as bringing shape to the design of th</w:t>
      </w:r>
      <w:r>
        <w:rPr>
          <w:rFonts w:ascii="Times New Roman" w:hAnsi="Times New Roman" w:cs="Times New Roman"/>
          <w:sz w:val="24"/>
          <w:szCs w:val="24"/>
        </w:rPr>
        <w:t>is research. The essence of the</w:t>
      </w:r>
      <w:r w:rsidRPr="00FB78E2">
        <w:rPr>
          <w:rFonts w:ascii="Times New Roman" w:hAnsi="Times New Roman" w:cs="Times New Roman"/>
          <w:sz w:val="24"/>
          <w:szCs w:val="24"/>
        </w:rPr>
        <w:t xml:space="preserve"> chapter is to elaborate on the research methods comprehensively in addition to the methodology executed for this study. According to </w:t>
      </w:r>
      <w:proofErr w:type="spellStart"/>
      <w:r w:rsidRPr="00FB78E2">
        <w:rPr>
          <w:rFonts w:ascii="Times New Roman" w:hAnsi="Times New Roman" w:cs="Times New Roman"/>
          <w:color w:val="222222"/>
          <w:sz w:val="24"/>
          <w:szCs w:val="24"/>
          <w:shd w:val="clear" w:color="auto" w:fill="FFFFFF"/>
        </w:rPr>
        <w:t>McCusker</w:t>
      </w:r>
      <w:proofErr w:type="spellEnd"/>
      <w:r w:rsidRPr="00FB78E2">
        <w:rPr>
          <w:rFonts w:ascii="Times New Roman" w:hAnsi="Times New Roman" w:cs="Times New Roman"/>
          <w:color w:val="222222"/>
          <w:sz w:val="24"/>
          <w:szCs w:val="24"/>
          <w:shd w:val="clear" w:color="auto" w:fill="FFFFFF"/>
        </w:rPr>
        <w:t xml:space="preserve"> &amp; </w:t>
      </w:r>
      <w:proofErr w:type="spellStart"/>
      <w:r w:rsidRPr="00FB78E2">
        <w:rPr>
          <w:rFonts w:ascii="Times New Roman" w:hAnsi="Times New Roman" w:cs="Times New Roman"/>
          <w:color w:val="222222"/>
          <w:sz w:val="24"/>
          <w:szCs w:val="24"/>
          <w:shd w:val="clear" w:color="auto" w:fill="FFFFFF"/>
        </w:rPr>
        <w:t>Gunaydin</w:t>
      </w:r>
      <w:proofErr w:type="spellEnd"/>
      <w:r w:rsidRPr="00FB78E2">
        <w:rPr>
          <w:rFonts w:ascii="Times New Roman" w:hAnsi="Times New Roman" w:cs="Times New Roman"/>
          <w:color w:val="222222"/>
          <w:sz w:val="24"/>
          <w:szCs w:val="24"/>
          <w:shd w:val="clear" w:color="auto" w:fill="FFFFFF"/>
        </w:rPr>
        <w:t xml:space="preserve"> (2015), </w:t>
      </w:r>
      <w:r w:rsidRPr="00FB78E2">
        <w:rPr>
          <w:rFonts w:ascii="Times New Roman" w:hAnsi="Times New Roman" w:cs="Times New Roman"/>
          <w:sz w:val="24"/>
          <w:szCs w:val="24"/>
        </w:rPr>
        <w:t xml:space="preserve">research methodology refers to the procedure employed in the collection of data and information which is used in decision making in businesses. This chapter explores the methods and procedures used such as research design, research questions, and sample population. Additionally, instrumentation, the conceptual framework, and presentation of data collection methods are followed.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Finally, the chapter tackles the data analysis of this research. The study aims to address three research queries: what sides significances exist from the context of professional online workers pose on the perceptions of educators concerning the influence towards distance learning, especially higher education? What implication does the procedure of online learning have regarding the influence posed by the need for higher education in society? And what is the public perception regarding the higher education programs offered online? The research questions </w:t>
      </w:r>
      <w:r w:rsidRPr="00FB78E2">
        <w:rPr>
          <w:rFonts w:ascii="Times New Roman" w:hAnsi="Times New Roman" w:cs="Times New Roman"/>
          <w:sz w:val="24"/>
          <w:szCs w:val="24"/>
        </w:rPr>
        <w:lastRenderedPageBreak/>
        <w:t xml:space="preserve">addressed the information that was assembled using a survey. </w:t>
      </w:r>
      <w:r w:rsidR="00494230">
        <w:rPr>
          <w:rFonts w:ascii="Times New Roman" w:hAnsi="Times New Roman" w:cs="Times New Roman"/>
          <w:sz w:val="24"/>
          <w:szCs w:val="24"/>
        </w:rPr>
        <w:t xml:space="preserve">The chosen population sample led to collection of accurate data. </w:t>
      </w:r>
      <w:r w:rsidRPr="00FB78E2">
        <w:rPr>
          <w:rFonts w:ascii="Times New Roman" w:hAnsi="Times New Roman" w:cs="Times New Roman"/>
          <w:sz w:val="24"/>
          <w:szCs w:val="24"/>
        </w:rPr>
        <w:t>The research in this study also responded to the analysis of the data according to stakeholders’ perceptions.</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Nature of the Research</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This study is quantitative in nature where the changes in particular elements that are known to impact the success of online studies in higher education. A scale of social integration was implemented using three subscales namely sense of belonging, old friends and relationship with professional online social workers.</w:t>
      </w:r>
      <w:r w:rsidR="00494230">
        <w:rPr>
          <w:rFonts w:ascii="Times New Roman" w:hAnsi="Times New Roman" w:cs="Times New Roman"/>
          <w:sz w:val="24"/>
          <w:szCs w:val="24"/>
        </w:rPr>
        <w:t xml:space="preserve"> </w:t>
      </w:r>
      <w:r w:rsidR="00494230" w:rsidRPr="00FB78E2">
        <w:rPr>
          <w:rFonts w:ascii="Times New Roman" w:hAnsi="Times New Roman" w:cs="Times New Roman"/>
          <w:sz w:val="24"/>
          <w:szCs w:val="24"/>
        </w:rPr>
        <w:t xml:space="preserve">It was easy to collect data from the survey because seminars were conducted through the department of education. </w:t>
      </w:r>
      <w:r w:rsidR="00494230" w:rsidRPr="00494230">
        <w:rPr>
          <w:rFonts w:ascii="Times New Roman" w:hAnsi="Times New Roman" w:cs="Times New Roman"/>
          <w:sz w:val="24"/>
          <w:szCs w:val="24"/>
        </w:rPr>
        <w:t xml:space="preserve"> </w:t>
      </w:r>
      <w:r w:rsidR="00494230" w:rsidRPr="00FB78E2">
        <w:rPr>
          <w:rFonts w:ascii="Times New Roman" w:hAnsi="Times New Roman" w:cs="Times New Roman"/>
          <w:sz w:val="24"/>
          <w:szCs w:val="24"/>
        </w:rPr>
        <w:t xml:space="preserve">The data was obtained through the process taught to 10 colleges and universities that participated in the survey. </w:t>
      </w:r>
      <w:r w:rsidRPr="00FB78E2">
        <w:rPr>
          <w:rFonts w:ascii="Times New Roman" w:hAnsi="Times New Roman" w:cs="Times New Roman"/>
          <w:sz w:val="24"/>
          <w:szCs w:val="24"/>
        </w:rPr>
        <w:t xml:space="preserve"> The research questions aforementioned facilitate a comparison between variables under study. In this case, the variables are online higher education and prevalence of social work education. Furthermore, the question assists in finding the relationship between these two integral variables of learning. Thus, the nature of his study is expected to be a quantitative inquiry. The primary concern of this study is to explore the scope to which online education, especially in higher education, is accepted and recognized among the chosen sample of the study. </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Research Design</w:t>
      </w:r>
    </w:p>
    <w:p w:rsidR="00CB2AE8" w:rsidRPr="00FB78E2" w:rsidRDefault="00CB2AE8" w:rsidP="00CB2AE8">
      <w:pPr>
        <w:spacing w:line="480" w:lineRule="auto"/>
        <w:rPr>
          <w:rFonts w:ascii="Times New Roman" w:hAnsi="Times New Roman" w:cs="Times New Roman"/>
          <w:sz w:val="24"/>
          <w:szCs w:val="24"/>
        </w:rPr>
      </w:pPr>
      <w:r>
        <w:rPr>
          <w:rFonts w:ascii="Times New Roman" w:hAnsi="Times New Roman" w:cs="Times New Roman"/>
          <w:sz w:val="24"/>
          <w:szCs w:val="24"/>
        </w:rPr>
        <w:tab/>
      </w:r>
      <w:r w:rsidRPr="00FB78E2">
        <w:rPr>
          <w:rFonts w:ascii="Times New Roman" w:hAnsi="Times New Roman" w:cs="Times New Roman"/>
          <w:sz w:val="24"/>
          <w:szCs w:val="24"/>
        </w:rPr>
        <w:t>The</w:t>
      </w:r>
      <w:r>
        <w:rPr>
          <w:rFonts w:ascii="Times New Roman" w:hAnsi="Times New Roman" w:cs="Times New Roman"/>
          <w:sz w:val="24"/>
          <w:szCs w:val="24"/>
        </w:rPr>
        <w:t xml:space="preserve"> research design applied in </w:t>
      </w:r>
      <w:r w:rsidRPr="00FB78E2">
        <w:rPr>
          <w:rFonts w:ascii="Times New Roman" w:hAnsi="Times New Roman" w:cs="Times New Roman"/>
          <w:sz w:val="24"/>
          <w:szCs w:val="24"/>
        </w:rPr>
        <w:t>study was a survey design. The survey was the only option that could lead to getting the most genuine and up to date data in line with the topic of research. Furthermore, the survey was the only viable design for this study because it is regarded as dependable and flexible, which is contrary to other research strategies (</w:t>
      </w:r>
      <w:proofErr w:type="spellStart"/>
      <w:r w:rsidRPr="00FB78E2">
        <w:rPr>
          <w:rFonts w:ascii="Times New Roman" w:hAnsi="Times New Roman" w:cs="Times New Roman"/>
          <w:color w:val="222222"/>
          <w:sz w:val="24"/>
          <w:szCs w:val="24"/>
          <w:shd w:val="clear" w:color="auto" w:fill="FFFFFF"/>
        </w:rPr>
        <w:t>Antwi</w:t>
      </w:r>
      <w:proofErr w:type="spellEnd"/>
      <w:r w:rsidRPr="00FB78E2">
        <w:rPr>
          <w:rFonts w:ascii="Times New Roman" w:hAnsi="Times New Roman" w:cs="Times New Roman"/>
          <w:color w:val="222222"/>
          <w:sz w:val="24"/>
          <w:szCs w:val="24"/>
          <w:shd w:val="clear" w:color="auto" w:fill="FFFFFF"/>
        </w:rPr>
        <w:t xml:space="preserve"> &amp; </w:t>
      </w:r>
      <w:proofErr w:type="spellStart"/>
      <w:r w:rsidRPr="00FB78E2">
        <w:rPr>
          <w:rFonts w:ascii="Times New Roman" w:hAnsi="Times New Roman" w:cs="Times New Roman"/>
          <w:color w:val="222222"/>
          <w:sz w:val="24"/>
          <w:szCs w:val="24"/>
          <w:shd w:val="clear" w:color="auto" w:fill="FFFFFF"/>
        </w:rPr>
        <w:t>Hamza</w:t>
      </w:r>
      <w:proofErr w:type="spellEnd"/>
      <w:r w:rsidRPr="00FB78E2">
        <w:rPr>
          <w:rFonts w:ascii="Times New Roman" w:hAnsi="Times New Roman" w:cs="Times New Roman"/>
          <w:color w:val="222222"/>
          <w:sz w:val="24"/>
          <w:szCs w:val="24"/>
          <w:shd w:val="clear" w:color="auto" w:fill="FFFFFF"/>
        </w:rPr>
        <w:t>, 2015)</w:t>
      </w:r>
      <w:r w:rsidRPr="00FB78E2">
        <w:rPr>
          <w:rFonts w:ascii="Times New Roman" w:hAnsi="Times New Roman" w:cs="Times New Roman"/>
          <w:sz w:val="24"/>
          <w:szCs w:val="24"/>
        </w:rPr>
        <w:t xml:space="preserve">. The survey was achieved via use of descriptive rating, the standard inventory assessment (SIA), </w:t>
      </w:r>
      <w:r w:rsidRPr="00FB78E2">
        <w:rPr>
          <w:rFonts w:ascii="Times New Roman" w:hAnsi="Times New Roman" w:cs="Times New Roman"/>
          <w:sz w:val="24"/>
          <w:szCs w:val="24"/>
        </w:rPr>
        <w:lastRenderedPageBreak/>
        <w:t xml:space="preserve">and Like-type data survey given by key stakeholders, which was meant to assemble data from educators and students in 10 colleges from New Jersey. </w:t>
      </w:r>
      <w:r w:rsidR="00494230" w:rsidRPr="00FB78E2">
        <w:rPr>
          <w:rFonts w:ascii="Times New Roman" w:hAnsi="Times New Roman" w:cs="Times New Roman"/>
          <w:sz w:val="24"/>
          <w:szCs w:val="24"/>
        </w:rPr>
        <w:t xml:space="preserve">Scholars argue that the methodology may involve interviews, publication research, surveys, and other study approaches. Similarly, the methodology could include both historical data and present information. </w:t>
      </w:r>
      <w:r w:rsidRPr="00FB78E2">
        <w:rPr>
          <w:rFonts w:ascii="Times New Roman" w:hAnsi="Times New Roman" w:cs="Times New Roman"/>
          <w:sz w:val="24"/>
          <w:szCs w:val="24"/>
        </w:rPr>
        <w:t xml:space="preserve">This methodology gave room for collected data to be analyzed through statistical means. The SAI was also confirmed to be an efficient approach of collecting data without creating space for compromising the collected data as it is common with other means of data collection. The study used a survey design which works excellently under quantitative research methodology.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In respect to the length and nature of research, personal interviews and observations would not have guaranteed the honesty and confidence that the anonymity nature of survey enjoyed in the study.</w:t>
      </w:r>
      <w:r w:rsidRPr="00FB78E2">
        <w:rPr>
          <w:rFonts w:ascii="Times New Roman" w:hAnsi="Times New Roman" w:cs="Times New Roman"/>
          <w:color w:val="222222"/>
          <w:sz w:val="24"/>
          <w:szCs w:val="24"/>
          <w:shd w:val="clear" w:color="auto" w:fill="FFFFFF"/>
        </w:rPr>
        <w:t xml:space="preserve"> Creswell &amp; Creswell (2017) posit that </w:t>
      </w:r>
      <w:r w:rsidRPr="00FB78E2">
        <w:rPr>
          <w:rFonts w:ascii="Times New Roman" w:hAnsi="Times New Roman" w:cs="Times New Roman"/>
          <w:sz w:val="24"/>
          <w:szCs w:val="24"/>
        </w:rPr>
        <w:t xml:space="preserve">interviews, focus groups, and observations would increase the possibility of bias and data inconsistency during the administration of the instruments of the survey. Furthermore, if interviews and observations would have been used, they could have failed to provide authentic data that is a concrete requirement of statistical analysis. The southwest educational development laboratory scholars endeavored to establish the SAI via numerous iterations of the product refinement process, which was essential in working to minimize the original question back to 60 items that are included in the survey. The survey had 60 questions which were designed to assess student’s perception and opinion in three expansive areas context, content and process. These three categories address a total of 12 teaching standards regulated by both The National Association of Deans and Directors of Schools of Social Work (NAAD) and Massive Open Online Courses (MOOCs) which were implemented by the state officials through the use of psychometric properties that have the capacity to gauge the degree to which higher education professional development and reform </w:t>
      </w:r>
      <w:r w:rsidRPr="00FB78E2">
        <w:rPr>
          <w:rFonts w:ascii="Times New Roman" w:hAnsi="Times New Roman" w:cs="Times New Roman"/>
          <w:sz w:val="24"/>
          <w:szCs w:val="24"/>
        </w:rPr>
        <w:lastRenderedPageBreak/>
        <w:t xml:space="preserve">conditions comply with the standards according to the reports obtained from educators and instructors.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During the evaluation of SAI, the inventory was ascertained for content verification through the performance of multiple interactions of item certified by instructors in addition to four professionals from the office of higher education’ s board. Besides that, criterion-oriented authenticity was also backed up by the results obtained from the descriptive analysis. The SAI survey which was based on the ratings was set up as a Likert scale. The Likert scale has the necessary signatures needed to accomplish the study objectives and aims (</w:t>
      </w:r>
      <w:r w:rsidRPr="00FB78E2">
        <w:rPr>
          <w:rFonts w:ascii="Times New Roman" w:hAnsi="Times New Roman" w:cs="Times New Roman"/>
          <w:color w:val="222222"/>
          <w:sz w:val="24"/>
          <w:szCs w:val="24"/>
          <w:shd w:val="clear" w:color="auto" w:fill="FFFFFF"/>
        </w:rPr>
        <w:t>Ingham-Broomfield, 2015)</w:t>
      </w:r>
      <w:r w:rsidRPr="00FB78E2">
        <w:rPr>
          <w:rFonts w:ascii="Times New Roman" w:hAnsi="Times New Roman" w:cs="Times New Roman"/>
          <w:sz w:val="24"/>
          <w:szCs w:val="24"/>
        </w:rPr>
        <w:t xml:space="preserve">. A rating survey instrument creates familiarity for many people, and it gives the researcher an opportunity to make comparisons across various respondents. The data obtained through comparative models are produced by the aid of a Likert scale which is added to the researcher’s potentiality for quantitative evaluations. </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Context of Research</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This research was performed using 10 out of 33 colleges and universities that were granted permission to take part in the training for online higher education. The 10 colleges that took part in this study did it on the basis of volunteering. The volunteered schools also permitted the use of their creditable information such as the number of online learners the schools allow per year, the available resources that promote distance learning for higher education as well as the officially employed instructors who focus on offering online services.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The remaining 23 institutions in one way or another did not accept the request to be included in the study. Still, among the 23 institutions, others failed to take part because they were denied time and chance to use their information in the survey. The schools that took part in the </w:t>
      </w:r>
      <w:r w:rsidRPr="00FB78E2">
        <w:rPr>
          <w:rFonts w:ascii="Times New Roman" w:hAnsi="Times New Roman" w:cs="Times New Roman"/>
          <w:sz w:val="24"/>
          <w:szCs w:val="24"/>
        </w:rPr>
        <w:lastRenderedPageBreak/>
        <w:t xml:space="preserve">study had to fill an application form for admittance into the program. These official procedures also led to some institutions citing some witch hand in the study which was not the case. The survey extended further to high schools. 5 high schools out of 15 accepted to take part in the survey. The 10 schools denied the offer to participate arguing that they had deadlines to beat concerning the issues of the syllabus. Furthermore, the fact that some of the concerned schools had no interest in allowing an online program to their students saw it of no value to participating. As a result, all the attention was diverted, and the survey was majorly for colleges and universities since they were the elementary institutions in offering higher education programs. All the institutions that took part were allowed because of their willingness to be involved in the study. Therefore, the information involved in this research is only obtained from the institutions that participated.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The sample population utilized in this study comprised of 522 instructors who had a wide experience ranging from 2 years novice to over 25 years veterans. Institutions in the study came from various backgrounds including those from urban, rural communities and suburban schools. Consequentially, a random sampling method was stratified in order to ensure that a relevant proportional representation of the sample population subgroups was studied. The SAI survey was issued in during different times of the survey. Some were brought back during training for online programs while others came during autumn as a pre-survey and the last batch came during the spring season as a post-survey. All these were accumulated to gather data from the 522 respondents. All the 522 respondents were composed of certified instructors through the New Jersey Department of Education.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The purpose of the survey was to carry out an evaluation test on the influence of emergence of technology and implementation of regulations set for institutions to accomplish for </w:t>
      </w:r>
      <w:r w:rsidRPr="00FB78E2">
        <w:rPr>
          <w:rFonts w:ascii="Times New Roman" w:hAnsi="Times New Roman" w:cs="Times New Roman"/>
          <w:sz w:val="24"/>
          <w:szCs w:val="24"/>
        </w:rPr>
        <w:lastRenderedPageBreak/>
        <w:t xml:space="preserve">them to be granted the permission to offer an online education program for higher education. The training which happened under the watch of the New Jersey Department of education was arranged to operate for a duration of 6 hours within the course of four training sessions. The primary objective of the training was to offer training that was necessary to spark the urge of many instructors to change and accept the role of online teaching. The involved training applied the use of appropriate data in distance learning, how to set the websites that provide online learning, assessment and common strategies that should be incorporated in online learning for students. Additionally, the training involved ethics and health online culture that could promote and trigger more people to accept online learning programs. Finally, the training also shared the significance of people taking social work education through online platforms. The objectives of the training were analyzed before the immediate training, and the information was disseminated to the participants via their email.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Members from individual institution teams were chosen with respect to their home districts. Participants were then accountable for turn key training within the boundaries of their institutions. Implementation took place before the fall of the year and was followed closely by the SAI survey. The post-survey was then addressed in the individual districts during the spring season of the year. All the participants were full-time instructors in each district of representation. </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Participants</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As a section of the grant application, the schools that were subject to being issued with grants accepted that the efforts of implementation would be an instructor of the chosen institutions. Moreover, the institutional level team which was made up of 4 to 5 individuals, including an administrator at the institutional level was allowed to attend the training in which </w:t>
      </w:r>
      <w:r w:rsidRPr="00FB78E2">
        <w:rPr>
          <w:rFonts w:ascii="Times New Roman" w:hAnsi="Times New Roman" w:cs="Times New Roman"/>
          <w:sz w:val="24"/>
          <w:szCs w:val="24"/>
        </w:rPr>
        <w:lastRenderedPageBreak/>
        <w:t xml:space="preserve">the study survey took part. Institutional staff was then given time within the time frame of the training to complete the survey. The entire participation was anonymous, and every participant signed in through the use of an institution-level key as a guarantee to anonymity. The instrumentation part of this study handles the validity that should be considered in this survey. </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Instrumentation</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Constructing upon the regulations and standards used for professional education which was certified by the national school development council (NSDC), the SAI, the survey instrument, investigated the perceptions of instructors towards online learning more so in higher education programs (</w:t>
      </w:r>
      <w:r w:rsidRPr="00FB78E2">
        <w:rPr>
          <w:rFonts w:ascii="Times New Roman" w:hAnsi="Times New Roman" w:cs="Times New Roman"/>
          <w:color w:val="222222"/>
          <w:sz w:val="24"/>
          <w:szCs w:val="24"/>
          <w:shd w:val="clear" w:color="auto" w:fill="FFFFFF"/>
        </w:rPr>
        <w:t>McNabb, 2015)</w:t>
      </w:r>
      <w:r w:rsidRPr="00FB78E2">
        <w:rPr>
          <w:rFonts w:ascii="Times New Roman" w:hAnsi="Times New Roman" w:cs="Times New Roman"/>
          <w:sz w:val="24"/>
          <w:szCs w:val="24"/>
        </w:rPr>
        <w:t xml:space="preserve">. The implementation procedure accompanied these process as outlined by the New Jersey Department of education. The survey was designed in appendices whereby appendix A had a total of 60 questions with multiple answers. The first section of the survey addressed online instructor demographics. This particular part was made of six queries. The 54 questions that were remaining were directed according to standards, which were randomly organized but falling under the categories of content for online learning, the context for online earning and the authenticity of the process of online learning. Respondents were expected to answer these questions using a 5-point scale that was designed to have answers like: always, seldom, never, sometimes, and frequently.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The permission to use SAI was requested from the key stakeholders as one way of supplementing the survey under the watch of the governing body for higher education. The urgency and need to use data from the SAI elements were granted to be included in the survey. However, this was to take place through the use of email.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lastRenderedPageBreak/>
        <w:t xml:space="preserve">The validity of the instruments used was studied comprehensively. According to Mayer (2015), the validity of the content offered for inline students is determined by a veteran instructor </w:t>
      </w:r>
      <w:r w:rsidRPr="00FB78E2">
        <w:rPr>
          <w:rFonts w:ascii="Times New Roman" w:hAnsi="Times New Roman" w:cs="Times New Roman"/>
          <w:noProof/>
          <w:sz w:val="24"/>
          <w:szCs w:val="24"/>
        </w:rPr>
        <w:drawing>
          <wp:inline distT="0" distB="0" distL="0" distR="0" wp14:anchorId="6D641BE0" wp14:editId="348E6021">
            <wp:extent cx="1247949" cy="495369"/>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53319" name="440A717.tmp"/>
                    <pic:cNvPicPr/>
                  </pic:nvPicPr>
                  <pic:blipFill>
                    <a:blip r:embed="rId7">
                      <a:extLst>
                        <a:ext uri="{28A0092B-C50C-407E-A947-70E740481C1C}">
                          <a14:useLocalDpi xmlns:a14="http://schemas.microsoft.com/office/drawing/2010/main" val="0"/>
                        </a:ext>
                      </a:extLst>
                    </a:blip>
                    <a:stretch>
                      <a:fillRect/>
                    </a:stretch>
                  </pic:blipFill>
                  <pic:spPr>
                    <a:xfrm>
                      <a:off x="0" y="0"/>
                      <a:ext cx="1247949" cy="495369"/>
                    </a:xfrm>
                    <a:prstGeom prst="rect">
                      <a:avLst/>
                    </a:prstGeom>
                  </pic:spPr>
                </pic:pic>
              </a:graphicData>
            </a:graphic>
          </wp:inline>
        </w:drawing>
      </w:r>
      <w:r w:rsidRPr="00FB78E2">
        <w:rPr>
          <w:rFonts w:ascii="Times New Roman" w:hAnsi="Times New Roman" w:cs="Times New Roman"/>
          <w:sz w:val="24"/>
          <w:szCs w:val="24"/>
        </w:rPr>
        <w:t>review, with the only possible suggestion emanating from the most current reviews which are found to be the need to add more information discussing online demographics. Constructs were carried out using a factor analysis method in more than 300 institutions of higher learning in New Jersey. It was investigated that the SAI had the capacity to capture relevant information that was worth being explored. The variance under explanation was 78.1 percent and Cronbach al</w:t>
      </w:r>
      <w:r w:rsidR="00137898">
        <w:rPr>
          <w:rFonts w:ascii="Times New Roman" w:hAnsi="Times New Roman" w:cs="Times New Roman"/>
          <w:sz w:val="24"/>
          <w:szCs w:val="24"/>
        </w:rPr>
        <w:t>phas were determined at 0.992. T</w:t>
      </w:r>
      <w:r w:rsidRPr="00FB78E2">
        <w:rPr>
          <w:rFonts w:ascii="Times New Roman" w:hAnsi="Times New Roman" w:cs="Times New Roman"/>
          <w:sz w:val="24"/>
          <w:szCs w:val="24"/>
        </w:rPr>
        <w:t xml:space="preserve">he definition for Cronbach is given as </w:t>
      </w:r>
      <w:r w:rsidRPr="00FB78E2">
        <w:rPr>
          <w:rFonts w:ascii="Times New Roman" w:hAnsi="Times New Roman" w:cs="Times New Roman"/>
          <w:noProof/>
          <w:sz w:val="24"/>
          <w:szCs w:val="24"/>
        </w:rPr>
        <w:drawing>
          <wp:inline distT="0" distB="0" distL="0" distR="0" wp14:anchorId="550AA04A" wp14:editId="13B4099B">
            <wp:extent cx="1762371" cy="562053"/>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58028" name="44064F1.tmp"/>
                    <pic:cNvPicPr/>
                  </pic:nvPicPr>
                  <pic:blipFill>
                    <a:blip r:embed="rId8">
                      <a:extLst>
                        <a:ext uri="{28A0092B-C50C-407E-A947-70E740481C1C}">
                          <a14:useLocalDpi xmlns:a14="http://schemas.microsoft.com/office/drawing/2010/main" val="0"/>
                        </a:ext>
                      </a:extLst>
                    </a:blip>
                    <a:stretch>
                      <a:fillRect/>
                    </a:stretch>
                  </pic:blipFill>
                  <pic:spPr>
                    <a:xfrm>
                      <a:off x="0" y="0"/>
                      <a:ext cx="1762371" cy="562053"/>
                    </a:xfrm>
                    <a:prstGeom prst="rect">
                      <a:avLst/>
                    </a:prstGeom>
                  </pic:spPr>
                </pic:pic>
              </a:graphicData>
            </a:graphic>
          </wp:inline>
        </w:drawing>
      </w:r>
      <w:r w:rsidRPr="00FB78E2">
        <w:rPr>
          <w:rFonts w:ascii="Times New Roman" w:hAnsi="Times New Roman" w:cs="Times New Roman"/>
          <w:sz w:val="24"/>
          <w:szCs w:val="24"/>
        </w:rPr>
        <w:t xml:space="preserve">where K represents the quantitative components such as K items </w:t>
      </w:r>
      <w:r w:rsidRPr="00FB78E2">
        <w:rPr>
          <w:rFonts w:ascii="Times New Roman" w:eastAsiaTheme="minorEastAsia" w:hAnsi="Times New Roman" w:cs="Times New Roman"/>
          <w:noProof/>
          <w:sz w:val="24"/>
          <w:szCs w:val="24"/>
        </w:rPr>
        <w:drawing>
          <wp:inline distT="0" distB="0" distL="0" distR="0" wp14:anchorId="7CE14729" wp14:editId="6973F783">
            <wp:extent cx="238158" cy="323895"/>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35943" name="440DC2.tmp"/>
                    <pic:cNvPicPr/>
                  </pic:nvPicPr>
                  <pic:blipFill>
                    <a:blip r:embed="rId9">
                      <a:extLst>
                        <a:ext uri="{28A0092B-C50C-407E-A947-70E740481C1C}">
                          <a14:useLocalDpi xmlns:a14="http://schemas.microsoft.com/office/drawing/2010/main" val="0"/>
                        </a:ext>
                      </a:extLst>
                    </a:blip>
                    <a:stretch>
                      <a:fillRect/>
                    </a:stretch>
                  </pic:blipFill>
                  <pic:spPr>
                    <a:xfrm>
                      <a:off x="0" y="0"/>
                      <a:ext cx="238158" cy="323895"/>
                    </a:xfrm>
                    <a:prstGeom prst="rect">
                      <a:avLst/>
                    </a:prstGeom>
                  </pic:spPr>
                </pic:pic>
              </a:graphicData>
            </a:graphic>
          </wp:inline>
        </w:drawing>
      </w:r>
      <w:r w:rsidRPr="00FB78E2">
        <w:rPr>
          <w:rFonts w:ascii="Times New Roman" w:eastAsiaTheme="minorEastAsia" w:hAnsi="Times New Roman" w:cs="Times New Roman"/>
          <w:sz w:val="24"/>
          <w:szCs w:val="24"/>
        </w:rPr>
        <w:t>stands for the variance that was observed in the total scores of the tests and</w:t>
      </w:r>
      <w:r w:rsidRPr="00FB78E2">
        <w:rPr>
          <w:rFonts w:ascii="Times New Roman" w:hAnsi="Times New Roman" w:cs="Times New Roman"/>
          <w:noProof/>
          <w:sz w:val="24"/>
          <w:szCs w:val="24"/>
        </w:rPr>
        <w:drawing>
          <wp:inline distT="0" distB="0" distL="0" distR="0" wp14:anchorId="20EB541A" wp14:editId="7F06386B">
            <wp:extent cx="219106" cy="314369"/>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297232" name="440B4B2.tmp"/>
                    <pic:cNvPicPr/>
                  </pic:nvPicPr>
                  <pic:blipFill>
                    <a:blip r:embed="rId10">
                      <a:extLst>
                        <a:ext uri="{28A0092B-C50C-407E-A947-70E740481C1C}">
                          <a14:useLocalDpi xmlns:a14="http://schemas.microsoft.com/office/drawing/2010/main" val="0"/>
                        </a:ext>
                      </a:extLst>
                    </a:blip>
                    <a:stretch>
                      <a:fillRect/>
                    </a:stretch>
                  </pic:blipFill>
                  <pic:spPr>
                    <a:xfrm>
                      <a:off x="0" y="0"/>
                      <a:ext cx="219106" cy="314369"/>
                    </a:xfrm>
                    <a:prstGeom prst="rect">
                      <a:avLst/>
                    </a:prstGeom>
                  </pic:spPr>
                </pic:pic>
              </a:graphicData>
            </a:graphic>
          </wp:inline>
        </w:drawing>
      </w:r>
      <w:r w:rsidRPr="00FB78E2">
        <w:rPr>
          <w:rFonts w:ascii="Times New Roman" w:eastAsiaTheme="minorEastAsia" w:hAnsi="Times New Roman" w:cs="Times New Roman"/>
          <w:sz w:val="24"/>
          <w:szCs w:val="24"/>
        </w:rPr>
        <w:t xml:space="preserve"> is the variance of item </w:t>
      </w:r>
      <w:r w:rsidRPr="00FB78E2">
        <w:rPr>
          <w:rFonts w:ascii="Times New Roman" w:eastAsiaTheme="minorEastAsia" w:hAnsi="Times New Roman" w:cs="Times New Roman"/>
          <w:i/>
          <w:sz w:val="24"/>
          <w:szCs w:val="24"/>
        </w:rPr>
        <w:t xml:space="preserve">i </w:t>
      </w:r>
      <w:r w:rsidRPr="00FB78E2">
        <w:rPr>
          <w:rFonts w:ascii="Times New Roman" w:eastAsiaTheme="minorEastAsia" w:hAnsi="Times New Roman" w:cs="Times New Roman"/>
          <w:sz w:val="24"/>
          <w:szCs w:val="24"/>
        </w:rPr>
        <w:t xml:space="preserve">stands for the sample of persons at the current moment. Predictive validity that applied the knowledge of total SAI indicated that the results obtained from instructors gave reports perceptions of online learning. Generally, analysis obtained from regression demonstrated support for the contribution of the institutions based on the SAI model which was recorded to be positive. </w:t>
      </w:r>
    </w:p>
    <w:p w:rsidR="00CB2AE8" w:rsidRPr="00FB78E2" w:rsidRDefault="00CB2AE8" w:rsidP="00CB2AE8">
      <w:pPr>
        <w:spacing w:line="480" w:lineRule="auto"/>
        <w:rPr>
          <w:rFonts w:ascii="Times New Roman" w:eastAsiaTheme="minorEastAsia" w:hAnsi="Times New Roman" w:cs="Times New Roman"/>
          <w:b/>
          <w:sz w:val="24"/>
          <w:szCs w:val="24"/>
        </w:rPr>
      </w:pPr>
      <w:r w:rsidRPr="00FB78E2">
        <w:rPr>
          <w:rFonts w:ascii="Times New Roman" w:eastAsiaTheme="minorEastAsia" w:hAnsi="Times New Roman" w:cs="Times New Roman"/>
          <w:b/>
          <w:sz w:val="24"/>
          <w:szCs w:val="24"/>
        </w:rPr>
        <w:t>Table 1</w:t>
      </w:r>
    </w:p>
    <w:p w:rsidR="00CB2AE8" w:rsidRPr="00FB78E2" w:rsidRDefault="00CB2AE8" w:rsidP="00CB2AE8">
      <w:pPr>
        <w:spacing w:line="480" w:lineRule="auto"/>
        <w:rPr>
          <w:rFonts w:ascii="Times New Roman" w:eastAsiaTheme="minorEastAsia" w:hAnsi="Times New Roman" w:cs="Times New Roman"/>
          <w:i/>
          <w:sz w:val="24"/>
          <w:szCs w:val="24"/>
        </w:rPr>
      </w:pPr>
      <w:r w:rsidRPr="00FB78E2">
        <w:rPr>
          <w:rFonts w:ascii="Times New Roman" w:eastAsiaTheme="minorEastAsia" w:hAnsi="Times New Roman" w:cs="Times New Roman"/>
          <w:i/>
          <w:sz w:val="24"/>
          <w:szCs w:val="24"/>
        </w:rPr>
        <w:t>Overall Instrument Reliability</w:t>
      </w:r>
    </w:p>
    <w:tbl>
      <w:tblPr>
        <w:tblStyle w:val="TableGrid"/>
        <w:tblW w:w="0" w:type="auto"/>
        <w:tblLook w:val="04A0" w:firstRow="1" w:lastRow="0" w:firstColumn="1" w:lastColumn="0" w:noHBand="0" w:noVBand="1"/>
      </w:tblPr>
      <w:tblGrid>
        <w:gridCol w:w="3116"/>
        <w:gridCol w:w="3117"/>
        <w:gridCol w:w="3117"/>
      </w:tblGrid>
      <w:tr w:rsidR="00CB2AE8" w:rsidTr="00CD2064">
        <w:tc>
          <w:tcPr>
            <w:tcW w:w="3116"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A</w:t>
            </w:r>
          </w:p>
        </w:tc>
        <w:tc>
          <w:tcPr>
            <w:tcW w:w="3117"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 xml:space="preserve">Number of items </w:t>
            </w:r>
          </w:p>
        </w:tc>
        <w:tc>
          <w:tcPr>
            <w:tcW w:w="3117"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Number cases</w:t>
            </w:r>
          </w:p>
        </w:tc>
      </w:tr>
      <w:tr w:rsidR="00CB2AE8" w:rsidTr="00CD2064">
        <w:tc>
          <w:tcPr>
            <w:tcW w:w="3116" w:type="dxa"/>
          </w:tcPr>
          <w:p w:rsidR="00CB2AE8" w:rsidRPr="00FB78E2" w:rsidRDefault="00137898" w:rsidP="00CD2064">
            <w:pPr>
              <w:spacing w:line="480" w:lineRule="auto"/>
              <w:rPr>
                <w:rFonts w:ascii="Times New Roman" w:hAnsi="Times New Roman" w:cs="Times New Roman"/>
                <w:sz w:val="24"/>
                <w:szCs w:val="24"/>
              </w:rPr>
            </w:pPr>
            <w:r>
              <w:rPr>
                <w:rFonts w:ascii="Times New Roman" w:hAnsi="Times New Roman" w:cs="Times New Roman"/>
                <w:sz w:val="24"/>
                <w:szCs w:val="24"/>
              </w:rPr>
              <w:t>0</w:t>
            </w:r>
            <w:r w:rsidR="00CB2AE8" w:rsidRPr="00FB78E2">
              <w:rPr>
                <w:rFonts w:ascii="Times New Roman" w:hAnsi="Times New Roman" w:cs="Times New Roman"/>
                <w:sz w:val="24"/>
                <w:szCs w:val="24"/>
              </w:rPr>
              <w:t>.98</w:t>
            </w:r>
          </w:p>
        </w:tc>
        <w:tc>
          <w:tcPr>
            <w:tcW w:w="3117"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60</w:t>
            </w:r>
          </w:p>
        </w:tc>
        <w:tc>
          <w:tcPr>
            <w:tcW w:w="3117"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297</w:t>
            </w:r>
          </w:p>
        </w:tc>
      </w:tr>
    </w:tbl>
    <w:p w:rsidR="00CB2AE8" w:rsidRPr="00FB78E2" w:rsidRDefault="00CB2AE8" w:rsidP="00CB2AE8">
      <w:pPr>
        <w:spacing w:line="480" w:lineRule="auto"/>
        <w:rPr>
          <w:rFonts w:ascii="Times New Roman" w:hAnsi="Times New Roman" w:cs="Times New Roman"/>
          <w:sz w:val="24"/>
          <w:szCs w:val="24"/>
        </w:rPr>
      </w:pP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The dependability of the survey conducted through the SAI model was then tested to ascertain the nature of the subscale effectively grouped data. The alpha coefficients used in the survey were designed to run between the range of </w:t>
      </w:r>
      <w:r w:rsidR="004C751F">
        <w:rPr>
          <w:rFonts w:ascii="Times New Roman" w:hAnsi="Times New Roman" w:cs="Times New Roman"/>
          <w:sz w:val="24"/>
          <w:szCs w:val="24"/>
        </w:rPr>
        <w:t>0</w:t>
      </w:r>
      <w:r w:rsidRPr="00FB78E2">
        <w:rPr>
          <w:rFonts w:ascii="Times New Roman" w:hAnsi="Times New Roman" w:cs="Times New Roman"/>
          <w:sz w:val="24"/>
          <w:szCs w:val="24"/>
        </w:rPr>
        <w:t>.71 -</w:t>
      </w:r>
      <w:r w:rsidR="004C751F">
        <w:rPr>
          <w:rFonts w:ascii="Times New Roman" w:hAnsi="Times New Roman" w:cs="Times New Roman"/>
          <w:sz w:val="24"/>
          <w:szCs w:val="24"/>
        </w:rPr>
        <w:t>0</w:t>
      </w:r>
      <w:r w:rsidRPr="00FB78E2">
        <w:rPr>
          <w:rFonts w:ascii="Times New Roman" w:hAnsi="Times New Roman" w:cs="Times New Roman"/>
          <w:sz w:val="24"/>
          <w:szCs w:val="24"/>
        </w:rPr>
        <w:t xml:space="preserve">.92, which confirms that within the 60-question survey, there was 75 percent possibility of gathering reliable data about distance learning in higher education. </w:t>
      </w:r>
    </w:p>
    <w:p w:rsidR="00CB2AE8" w:rsidRPr="00FB78E2" w:rsidRDefault="00CB2AE8" w:rsidP="00CB2AE8">
      <w:pPr>
        <w:spacing w:line="480" w:lineRule="auto"/>
        <w:rPr>
          <w:rFonts w:ascii="Times New Roman" w:hAnsi="Times New Roman" w:cs="Times New Roman"/>
          <w:b/>
          <w:sz w:val="24"/>
          <w:szCs w:val="24"/>
        </w:rPr>
      </w:pPr>
      <w:r w:rsidRPr="00FB78E2">
        <w:rPr>
          <w:rFonts w:ascii="Times New Roman" w:hAnsi="Times New Roman" w:cs="Times New Roman"/>
          <w:b/>
          <w:sz w:val="24"/>
          <w:szCs w:val="24"/>
        </w:rPr>
        <w:t xml:space="preserve">Table 2 </w:t>
      </w:r>
    </w:p>
    <w:p w:rsidR="00CB2AE8" w:rsidRPr="00FB78E2" w:rsidRDefault="00CB2AE8" w:rsidP="00CB2AE8">
      <w:pPr>
        <w:spacing w:line="480" w:lineRule="auto"/>
        <w:rPr>
          <w:rFonts w:ascii="Times New Roman" w:hAnsi="Times New Roman" w:cs="Times New Roman"/>
          <w:i/>
          <w:sz w:val="24"/>
          <w:szCs w:val="24"/>
        </w:rPr>
      </w:pPr>
      <w:r w:rsidRPr="00FB78E2">
        <w:rPr>
          <w:rFonts w:ascii="Times New Roman" w:hAnsi="Times New Roman" w:cs="Times New Roman"/>
          <w:i/>
          <w:sz w:val="24"/>
          <w:szCs w:val="24"/>
        </w:rPr>
        <w:t xml:space="preserve">Overall Subscale Reliability </w:t>
      </w:r>
    </w:p>
    <w:tbl>
      <w:tblPr>
        <w:tblStyle w:val="TableGrid"/>
        <w:tblW w:w="0" w:type="auto"/>
        <w:tblLook w:val="04A0" w:firstRow="1" w:lastRow="0" w:firstColumn="1" w:lastColumn="0" w:noHBand="0" w:noVBand="1"/>
      </w:tblPr>
      <w:tblGrid>
        <w:gridCol w:w="4675"/>
        <w:gridCol w:w="4675"/>
      </w:tblGrid>
      <w:tr w:rsidR="00CB2AE8" w:rsidTr="00CD2064">
        <w:tc>
          <w:tcPr>
            <w:tcW w:w="4675" w:type="dxa"/>
          </w:tcPr>
          <w:p w:rsidR="00CB2AE8" w:rsidRPr="00FB78E2" w:rsidRDefault="00CB2AE8" w:rsidP="00CD2064">
            <w:pPr>
              <w:spacing w:line="480" w:lineRule="auto"/>
              <w:rPr>
                <w:rFonts w:ascii="Times New Roman" w:hAnsi="Times New Roman" w:cs="Times New Roman"/>
                <w:sz w:val="24"/>
                <w:szCs w:val="24"/>
              </w:rPr>
            </w:pPr>
          </w:p>
        </w:tc>
        <w:tc>
          <w:tcPr>
            <w:tcW w:w="4675" w:type="dxa"/>
          </w:tcPr>
          <w:p w:rsidR="00CB2AE8" w:rsidRPr="00FB78E2" w:rsidRDefault="00CB2AE8" w:rsidP="00CD2064">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Α</w:t>
            </w:r>
          </w:p>
        </w:tc>
      </w:tr>
      <w:tr w:rsidR="00CB2AE8" w:rsidTr="00CD2064">
        <w:tc>
          <w:tcPr>
            <w:tcW w:w="4675"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Institutional accreditation</w:t>
            </w:r>
          </w:p>
        </w:tc>
        <w:tc>
          <w:tcPr>
            <w:tcW w:w="4675" w:type="dxa"/>
          </w:tcPr>
          <w:p w:rsidR="00CB2AE8" w:rsidRPr="00FB78E2" w:rsidRDefault="00137898" w:rsidP="00CD2064">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00CB2AE8" w:rsidRPr="00FB78E2">
              <w:rPr>
                <w:rFonts w:ascii="Times New Roman" w:hAnsi="Times New Roman" w:cs="Times New Roman"/>
                <w:sz w:val="24"/>
                <w:szCs w:val="24"/>
              </w:rPr>
              <w:t>.78</w:t>
            </w:r>
          </w:p>
        </w:tc>
      </w:tr>
      <w:tr w:rsidR="00CB2AE8" w:rsidTr="00CD2064">
        <w:tc>
          <w:tcPr>
            <w:tcW w:w="4675"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Evaluation</w:t>
            </w:r>
          </w:p>
        </w:tc>
        <w:tc>
          <w:tcPr>
            <w:tcW w:w="4675" w:type="dxa"/>
          </w:tcPr>
          <w:p w:rsidR="00CB2AE8" w:rsidRPr="00FB78E2" w:rsidRDefault="00137898" w:rsidP="00CD2064">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00CB2AE8" w:rsidRPr="00FB78E2">
              <w:rPr>
                <w:rFonts w:ascii="Times New Roman" w:hAnsi="Times New Roman" w:cs="Times New Roman"/>
                <w:sz w:val="24"/>
                <w:szCs w:val="24"/>
              </w:rPr>
              <w:t>.85</w:t>
            </w:r>
          </w:p>
        </w:tc>
      </w:tr>
      <w:tr w:rsidR="00CB2AE8" w:rsidTr="00CD2064">
        <w:tc>
          <w:tcPr>
            <w:tcW w:w="4675"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 xml:space="preserve">Research based </w:t>
            </w:r>
          </w:p>
        </w:tc>
        <w:tc>
          <w:tcPr>
            <w:tcW w:w="4675" w:type="dxa"/>
          </w:tcPr>
          <w:p w:rsidR="00CB2AE8" w:rsidRPr="00FB78E2" w:rsidRDefault="00137898" w:rsidP="00CD2064">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00CB2AE8" w:rsidRPr="00FB78E2">
              <w:rPr>
                <w:rFonts w:ascii="Times New Roman" w:hAnsi="Times New Roman" w:cs="Times New Roman"/>
                <w:sz w:val="24"/>
                <w:szCs w:val="24"/>
              </w:rPr>
              <w:t>.73</w:t>
            </w:r>
          </w:p>
        </w:tc>
      </w:tr>
      <w:tr w:rsidR="00CB2AE8" w:rsidTr="00CD2064">
        <w:tc>
          <w:tcPr>
            <w:tcW w:w="4675"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Design</w:t>
            </w:r>
          </w:p>
        </w:tc>
        <w:tc>
          <w:tcPr>
            <w:tcW w:w="4675" w:type="dxa"/>
          </w:tcPr>
          <w:p w:rsidR="00CB2AE8" w:rsidRPr="00FB78E2" w:rsidRDefault="00137898" w:rsidP="00CD2064">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00CB2AE8" w:rsidRPr="00FB78E2">
              <w:rPr>
                <w:rFonts w:ascii="Times New Roman" w:hAnsi="Times New Roman" w:cs="Times New Roman"/>
                <w:sz w:val="24"/>
                <w:szCs w:val="24"/>
              </w:rPr>
              <w:t>.83</w:t>
            </w:r>
          </w:p>
        </w:tc>
      </w:tr>
      <w:tr w:rsidR="00CB2AE8" w:rsidTr="00CD2064">
        <w:tc>
          <w:tcPr>
            <w:tcW w:w="4675"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 xml:space="preserve">Data-driven </w:t>
            </w:r>
          </w:p>
        </w:tc>
        <w:tc>
          <w:tcPr>
            <w:tcW w:w="4675" w:type="dxa"/>
          </w:tcPr>
          <w:p w:rsidR="00CB2AE8" w:rsidRPr="00FB78E2" w:rsidRDefault="00137898" w:rsidP="00CD2064">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00CB2AE8" w:rsidRPr="00FB78E2">
              <w:rPr>
                <w:rFonts w:ascii="Times New Roman" w:hAnsi="Times New Roman" w:cs="Times New Roman"/>
                <w:sz w:val="24"/>
                <w:szCs w:val="24"/>
              </w:rPr>
              <w:t>.85</w:t>
            </w:r>
          </w:p>
        </w:tc>
      </w:tr>
      <w:tr w:rsidR="00CB2AE8" w:rsidTr="00CD2064">
        <w:tc>
          <w:tcPr>
            <w:tcW w:w="4675"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 xml:space="preserve">Collaboration </w:t>
            </w:r>
          </w:p>
        </w:tc>
        <w:tc>
          <w:tcPr>
            <w:tcW w:w="4675" w:type="dxa"/>
          </w:tcPr>
          <w:p w:rsidR="00CB2AE8" w:rsidRPr="00FB78E2" w:rsidRDefault="00137898" w:rsidP="00CD2064">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00CB2AE8" w:rsidRPr="00FB78E2">
              <w:rPr>
                <w:rFonts w:ascii="Times New Roman" w:hAnsi="Times New Roman" w:cs="Times New Roman"/>
                <w:sz w:val="24"/>
                <w:szCs w:val="24"/>
              </w:rPr>
              <w:t>.88</w:t>
            </w:r>
          </w:p>
        </w:tc>
      </w:tr>
      <w:tr w:rsidR="00CB2AE8" w:rsidTr="00CD2064">
        <w:tc>
          <w:tcPr>
            <w:tcW w:w="4675"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 xml:space="preserve">Resources </w:t>
            </w:r>
          </w:p>
        </w:tc>
        <w:tc>
          <w:tcPr>
            <w:tcW w:w="4675" w:type="dxa"/>
          </w:tcPr>
          <w:p w:rsidR="00CB2AE8" w:rsidRPr="00FB78E2" w:rsidRDefault="00137898" w:rsidP="00CD2064">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00CB2AE8" w:rsidRPr="00FB78E2">
              <w:rPr>
                <w:rFonts w:ascii="Times New Roman" w:hAnsi="Times New Roman" w:cs="Times New Roman"/>
                <w:sz w:val="24"/>
                <w:szCs w:val="24"/>
              </w:rPr>
              <w:t>.83</w:t>
            </w:r>
          </w:p>
        </w:tc>
      </w:tr>
      <w:tr w:rsidR="00CB2AE8" w:rsidTr="00CD2064">
        <w:tc>
          <w:tcPr>
            <w:tcW w:w="4675"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Equity</w:t>
            </w:r>
          </w:p>
        </w:tc>
        <w:tc>
          <w:tcPr>
            <w:tcW w:w="4675" w:type="dxa"/>
          </w:tcPr>
          <w:p w:rsidR="00CB2AE8" w:rsidRPr="00FB78E2" w:rsidRDefault="00137898" w:rsidP="00CD2064">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00CB2AE8" w:rsidRPr="00FB78E2">
              <w:rPr>
                <w:rFonts w:ascii="Times New Roman" w:hAnsi="Times New Roman" w:cs="Times New Roman"/>
                <w:sz w:val="24"/>
                <w:szCs w:val="24"/>
              </w:rPr>
              <w:t>.89</w:t>
            </w:r>
          </w:p>
        </w:tc>
      </w:tr>
      <w:tr w:rsidR="00CB2AE8" w:rsidTr="00CD2064">
        <w:tc>
          <w:tcPr>
            <w:tcW w:w="4675"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Leadership</w:t>
            </w:r>
          </w:p>
        </w:tc>
        <w:tc>
          <w:tcPr>
            <w:tcW w:w="4675" w:type="dxa"/>
          </w:tcPr>
          <w:p w:rsidR="00CB2AE8" w:rsidRPr="00FB78E2" w:rsidRDefault="00137898" w:rsidP="00CD2064">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00CB2AE8" w:rsidRPr="00FB78E2">
              <w:rPr>
                <w:rFonts w:ascii="Times New Roman" w:hAnsi="Times New Roman" w:cs="Times New Roman"/>
                <w:sz w:val="24"/>
                <w:szCs w:val="24"/>
              </w:rPr>
              <w:t>.76</w:t>
            </w:r>
          </w:p>
        </w:tc>
      </w:tr>
      <w:tr w:rsidR="00CB2AE8" w:rsidTr="00CD2064">
        <w:tc>
          <w:tcPr>
            <w:tcW w:w="4675"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lastRenderedPageBreak/>
              <w:t xml:space="preserve">Quality teaching </w:t>
            </w:r>
          </w:p>
        </w:tc>
        <w:tc>
          <w:tcPr>
            <w:tcW w:w="4675" w:type="dxa"/>
          </w:tcPr>
          <w:p w:rsidR="00CB2AE8" w:rsidRPr="00FB78E2" w:rsidRDefault="00137898" w:rsidP="00CD2064">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00CB2AE8" w:rsidRPr="00FB78E2">
              <w:rPr>
                <w:rFonts w:ascii="Times New Roman" w:hAnsi="Times New Roman" w:cs="Times New Roman"/>
                <w:sz w:val="24"/>
                <w:szCs w:val="24"/>
              </w:rPr>
              <w:t>.78</w:t>
            </w:r>
          </w:p>
        </w:tc>
      </w:tr>
      <w:tr w:rsidR="00CB2AE8" w:rsidTr="00CD2064">
        <w:tc>
          <w:tcPr>
            <w:tcW w:w="4675"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 xml:space="preserve">Family involvement </w:t>
            </w:r>
          </w:p>
        </w:tc>
        <w:tc>
          <w:tcPr>
            <w:tcW w:w="4675" w:type="dxa"/>
          </w:tcPr>
          <w:p w:rsidR="00CB2AE8" w:rsidRPr="00FB78E2" w:rsidRDefault="00137898" w:rsidP="00CD2064">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00CB2AE8" w:rsidRPr="00FB78E2">
              <w:rPr>
                <w:rFonts w:ascii="Times New Roman" w:hAnsi="Times New Roman" w:cs="Times New Roman"/>
                <w:sz w:val="24"/>
                <w:szCs w:val="24"/>
              </w:rPr>
              <w:t>.90</w:t>
            </w:r>
          </w:p>
        </w:tc>
      </w:tr>
      <w:tr w:rsidR="00CB2AE8" w:rsidTr="00CD2064">
        <w:tc>
          <w:tcPr>
            <w:tcW w:w="4675" w:type="dxa"/>
          </w:tcPr>
          <w:p w:rsidR="00CB2AE8" w:rsidRPr="00FB78E2" w:rsidRDefault="00CB2AE8" w:rsidP="00CD2064">
            <w:pPr>
              <w:spacing w:line="480" w:lineRule="auto"/>
              <w:rPr>
                <w:rFonts w:ascii="Times New Roman" w:hAnsi="Times New Roman" w:cs="Times New Roman"/>
                <w:sz w:val="24"/>
                <w:szCs w:val="24"/>
              </w:rPr>
            </w:pPr>
            <w:r w:rsidRPr="00FB78E2">
              <w:rPr>
                <w:rFonts w:ascii="Times New Roman" w:hAnsi="Times New Roman" w:cs="Times New Roman"/>
                <w:sz w:val="24"/>
                <w:szCs w:val="24"/>
              </w:rPr>
              <w:t xml:space="preserve">Learning communities </w:t>
            </w:r>
          </w:p>
        </w:tc>
        <w:tc>
          <w:tcPr>
            <w:tcW w:w="4675" w:type="dxa"/>
          </w:tcPr>
          <w:p w:rsidR="00CB2AE8" w:rsidRPr="00FB78E2" w:rsidRDefault="00137898" w:rsidP="00CD2064">
            <w:pPr>
              <w:spacing w:line="480" w:lineRule="auto"/>
              <w:jc w:val="center"/>
              <w:rPr>
                <w:rFonts w:ascii="Times New Roman" w:hAnsi="Times New Roman" w:cs="Times New Roman"/>
                <w:sz w:val="24"/>
                <w:szCs w:val="24"/>
              </w:rPr>
            </w:pPr>
            <w:r>
              <w:rPr>
                <w:rFonts w:ascii="Times New Roman" w:hAnsi="Times New Roman" w:cs="Times New Roman"/>
                <w:sz w:val="24"/>
                <w:szCs w:val="24"/>
              </w:rPr>
              <w:t>0</w:t>
            </w:r>
            <w:r w:rsidR="00CB2AE8" w:rsidRPr="00FB78E2">
              <w:rPr>
                <w:rFonts w:ascii="Times New Roman" w:hAnsi="Times New Roman" w:cs="Times New Roman"/>
                <w:sz w:val="24"/>
                <w:szCs w:val="24"/>
              </w:rPr>
              <w:t>.76</w:t>
            </w:r>
          </w:p>
        </w:tc>
      </w:tr>
    </w:tbl>
    <w:p w:rsidR="00CB2AE8" w:rsidRPr="00FB78E2" w:rsidRDefault="00CB2AE8" w:rsidP="00CB2AE8">
      <w:pPr>
        <w:spacing w:line="480" w:lineRule="auto"/>
        <w:rPr>
          <w:rFonts w:ascii="Times New Roman" w:hAnsi="Times New Roman" w:cs="Times New Roman"/>
          <w:sz w:val="24"/>
          <w:szCs w:val="24"/>
        </w:rPr>
      </w:pP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Data Collection</w:t>
      </w:r>
    </w:p>
    <w:p w:rsidR="00134ABD"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The SAI was an integral factor of data collection used in the study. Information concerning instructors’ perceptions towards higher education offered through online learning was collected in accordance with the primary elements of the study which had been divided into three sections content, process, and context. This was data gathered through a detailed online survey which was conducted through self-administration technique. The online instruments of the survey were confirmed beyond manipulation and hacking to compromise data by incorporating high-tech software. The first survey was administered during the autumn according to the assessment and the second survey was organized to be re</w:t>
      </w:r>
      <w:r>
        <w:rPr>
          <w:rFonts w:ascii="Times New Roman" w:hAnsi="Times New Roman" w:cs="Times New Roman"/>
          <w:sz w:val="24"/>
          <w:szCs w:val="24"/>
        </w:rPr>
        <w:t>-</w:t>
      </w:r>
      <w:r w:rsidRPr="00FB78E2">
        <w:rPr>
          <w:rFonts w:ascii="Times New Roman" w:hAnsi="Times New Roman" w:cs="Times New Roman"/>
          <w:sz w:val="24"/>
          <w:szCs w:val="24"/>
        </w:rPr>
        <w:t>administered in the winter. The chosen seasons were the most viable since they were the times when schools and institutions are operational (</w:t>
      </w:r>
      <w:r w:rsidRPr="00FB78E2">
        <w:rPr>
          <w:rFonts w:ascii="Times New Roman" w:hAnsi="Times New Roman" w:cs="Times New Roman"/>
          <w:color w:val="222222"/>
          <w:sz w:val="24"/>
          <w:szCs w:val="24"/>
          <w:shd w:val="clear" w:color="auto" w:fill="FFFFFF"/>
        </w:rPr>
        <w:t>Katz, 2015)</w:t>
      </w:r>
      <w:r w:rsidRPr="00FB78E2">
        <w:rPr>
          <w:rFonts w:ascii="Times New Roman" w:hAnsi="Times New Roman" w:cs="Times New Roman"/>
          <w:sz w:val="24"/>
          <w:szCs w:val="24"/>
        </w:rPr>
        <w:t>. In the attempt to handle the regression in correspondence to the mean, the 10-month duration allowed was adequate since there was no need to adjust the time too much as this was perceived as an avenue for converging data towards the rate that was underlying.</w:t>
      </w:r>
    </w:p>
    <w:p w:rsidR="00CB2AE8" w:rsidRPr="00FB78E2" w:rsidRDefault="00134ABD" w:rsidP="006A3249">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Majority of instructors share a common vision. They are therefore willing to work, learn and collaborate with online students and help them in decision making concerning online education. With the growing pressure in life and the fact that people usually have a myriad of activities, online learning has been perceived as the best option for the busy students as they can learn at their own time and make necessary follow-ups on their education.</w:t>
      </w:r>
      <w:r w:rsidR="00370B23">
        <w:rPr>
          <w:rFonts w:ascii="Times New Roman" w:hAnsi="Times New Roman" w:cs="Times New Roman"/>
          <w:sz w:val="24"/>
          <w:szCs w:val="24"/>
        </w:rPr>
        <w:t xml:space="preserve"> </w:t>
      </w:r>
      <w:r w:rsidR="00370B23" w:rsidRPr="00FB78E2">
        <w:rPr>
          <w:rFonts w:ascii="Times New Roman" w:hAnsi="Times New Roman" w:cs="Times New Roman"/>
          <w:sz w:val="24"/>
          <w:szCs w:val="24"/>
        </w:rPr>
        <w:t xml:space="preserve">The current rise in </w:t>
      </w:r>
      <w:r w:rsidR="00370B23" w:rsidRPr="00FB78E2">
        <w:rPr>
          <w:rFonts w:ascii="Times New Roman" w:hAnsi="Times New Roman" w:cs="Times New Roman"/>
          <w:sz w:val="24"/>
          <w:szCs w:val="24"/>
        </w:rPr>
        <w:lastRenderedPageBreak/>
        <w:t xml:space="preserve">student-instructor learning was also marked in the survey as a key element in higher education. </w:t>
      </w:r>
      <w:r w:rsidRPr="00FB78E2">
        <w:rPr>
          <w:rFonts w:ascii="Times New Roman" w:hAnsi="Times New Roman" w:cs="Times New Roman"/>
          <w:sz w:val="24"/>
          <w:szCs w:val="24"/>
        </w:rPr>
        <w:t xml:space="preserve"> The areas studied to reach such conclusions include the context of online learning, processes followed in online learning and content available for both the instructor and student learning. Each of these elements can be explained according to its relevance in online learning and implementation tactics. Context addressed three subcategories that exist within the context of online learning. These subcategories include community perception towards online learning, resources available to promote online education as opposed to traditional classroom learning, and the final subcategory was the leadership perception in online education. Concerning leadership perceptions, the data from the survey indicated that about 65 percent of the leadership of various institutions were willing to allow online learning programs in their institutions. The federal government section representative who participated in the survey responded that online learning was a prudent approach that was meant to accommodate students from all walks of life.</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The total approximation time that was allocated for each participant to complete the survey was set at 20 minutes. The participants were reminded and notified about the exact dates when the survey would be conducted through the use of emails. During this time, each responded who were mainly instructors were issued with a key which would be used for signing in. This was necessary to maintain a high order of confidentiality and anonymity. The results from the survey were then collected under the supervision of the departmental officials. The researchers were allowed to check the outcomes using the separate keys that they were given. The researcher was to access the data separately according to the period when that data was gathered. The researcher then took the data and fed them into the statistical software for analyzation of the information using a univariate transcript of ANOVA.</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Data Analysis</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lastRenderedPageBreak/>
        <w:t xml:space="preserve">The analysis of the data was performed in order to investigate alterations, if any, in perceptions instructors and students have towards online learning in regard to offering higher education. The three areas: context, process, and content of online learning studies were put into considerations as they were the primary elements of study under survey. Statistics which were descriptive in nature were developed across all the 60 individual queries, which were also separated under three key headings. The descriptive statistics included the mean grade of each score for every question in addition to the frequency distribution of every response obtained. The obtained means were then analyzed through the utilization of univariate ANOVA to establish the importance of change in time of the survey. </w:t>
      </w:r>
    </w:p>
    <w:p w:rsidR="00CB2AE8"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The researcher noticed that applying ANOVA in the analyzation of the data from the survey has assumptions. Dillon &amp; </w:t>
      </w:r>
      <w:proofErr w:type="spellStart"/>
      <w:r w:rsidRPr="00FB78E2">
        <w:rPr>
          <w:rFonts w:ascii="Times New Roman" w:hAnsi="Times New Roman" w:cs="Times New Roman"/>
          <w:sz w:val="24"/>
          <w:szCs w:val="24"/>
        </w:rPr>
        <w:t>Wals</w:t>
      </w:r>
      <w:proofErr w:type="spellEnd"/>
      <w:r w:rsidRPr="00FB78E2">
        <w:rPr>
          <w:rFonts w:ascii="Times New Roman" w:hAnsi="Times New Roman" w:cs="Times New Roman"/>
          <w:sz w:val="24"/>
          <w:szCs w:val="24"/>
        </w:rPr>
        <w:t xml:space="preserve"> (2016) argue that one key assumption of ANOVA is that the outcome which is the variance of variables that depend on each other yields the same results across all the groups being researched. The data derived from this study tried to respond to this assumption by stabilizing the sample size via the collection of information from instructors who were opposed to online programs in higher education. This approach was necessary as it led to the dependability of the mean that had not been skewed. Skewing the means would have resulted in different mean at the end of the survey which was unnecessary. </w:t>
      </w:r>
    </w:p>
    <w:p w:rsidR="00134ABD" w:rsidRDefault="00134ABD" w:rsidP="00134ABD">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The subcategory of process addressed six subcategories in the survey which were contained within the grouping of the process section. The six subcategories included data-driven practices, collaboration, evaluation, design, research-based and learning. Concerning collaboration, the survey indicated that many partnerships were focused on promoting online education based on the equity which is enjoyed in the programs. Another positive element that was visible from the survey was that online studies are more research-based since the students </w:t>
      </w:r>
      <w:r w:rsidRPr="00FB78E2">
        <w:rPr>
          <w:rFonts w:ascii="Times New Roman" w:hAnsi="Times New Roman" w:cs="Times New Roman"/>
          <w:sz w:val="24"/>
          <w:szCs w:val="24"/>
        </w:rPr>
        <w:lastRenderedPageBreak/>
        <w:t>learn on their own with limited interference of instructors, so they have to search for necessary information to supplement their studies. Moreover, the design in which online learning takes place is encouraging to the students (</w:t>
      </w:r>
      <w:proofErr w:type="spellStart"/>
      <w:r w:rsidRPr="00FB78E2">
        <w:rPr>
          <w:rFonts w:ascii="Times New Roman" w:hAnsi="Times New Roman" w:cs="Times New Roman"/>
          <w:sz w:val="24"/>
          <w:szCs w:val="24"/>
        </w:rPr>
        <w:t>Hadi</w:t>
      </w:r>
      <w:proofErr w:type="spellEnd"/>
      <w:r w:rsidRPr="00FB78E2">
        <w:rPr>
          <w:rFonts w:ascii="Times New Roman" w:hAnsi="Times New Roman" w:cs="Times New Roman"/>
          <w:sz w:val="24"/>
          <w:szCs w:val="24"/>
        </w:rPr>
        <w:t xml:space="preserve"> &amp; </w:t>
      </w:r>
      <w:proofErr w:type="spellStart"/>
      <w:r w:rsidRPr="00FB78E2">
        <w:rPr>
          <w:rFonts w:ascii="Times New Roman" w:hAnsi="Times New Roman" w:cs="Times New Roman"/>
          <w:sz w:val="24"/>
          <w:szCs w:val="24"/>
        </w:rPr>
        <w:t>Closs</w:t>
      </w:r>
      <w:proofErr w:type="spellEnd"/>
      <w:r w:rsidRPr="00FB78E2">
        <w:rPr>
          <w:rFonts w:ascii="Times New Roman" w:hAnsi="Times New Roman" w:cs="Times New Roman"/>
          <w:sz w:val="24"/>
          <w:szCs w:val="24"/>
        </w:rPr>
        <w:t xml:space="preserve">, 2016). The institutional websites are user-friendly and therefore learning is made much easier. Furthermore, the procedure of learning is built on discussions since students can share common problems they encounter on various courses and this enables students to make informed decisions that are crucial in real life. </w:t>
      </w:r>
    </w:p>
    <w:p w:rsidR="00494230" w:rsidRDefault="00494230" w:rsidP="00494230">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The last subcategory was about content offered for online students. The content was further subdivided into equity, family, and quality teaching. Regarding the aspect of equity, most instructors and students agreed that online studies in higher education provided equal opportunity for students across all paradigms of life to have access to quality education. Students from marginalized groups, remote areas, and financially disadvantaged students could get an education through these online platforms. Online studies create a sense of belonging to students who initially had no dreams of pursuing a higher education system due to various disadvantages of life. This element has therefore added significant popularity to higher education learning via online programs. According to the subcategory of content, quality teaching can be found in most online platforms.</w:t>
      </w:r>
    </w:p>
    <w:p w:rsidR="00494230" w:rsidRDefault="00494230" w:rsidP="00494230">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 As per the survey performed, the courses that were offered in online programs as well as in the traditional classroom, in terms of scores online students recorded better scores than their colleagues in traditional classrooms. This was believed to be due to the quality teaching provided by online instructors to online students. The quality interaction that exists between instructors and students also significantly contribute to the success of online education. Online students have a high sense of belonging to an institution, an aspect that gives them the morale to work hard and prove their efforts fruitful. Lastly, on the subcategory of family, the chapter presents findings </w:t>
      </w:r>
      <w:r w:rsidRPr="00FB78E2">
        <w:rPr>
          <w:rFonts w:ascii="Times New Roman" w:hAnsi="Times New Roman" w:cs="Times New Roman"/>
          <w:sz w:val="24"/>
          <w:szCs w:val="24"/>
        </w:rPr>
        <w:lastRenderedPageBreak/>
        <w:t xml:space="preserve">that are somehow inconsistency given that few family members were given the opportunity to take part in the research. As a result, the family data was limited but for a few family members that took part refuted that they had no confidence and trust to let their children obtain higher learning accolades through online learning. They argued that the online programs lacked authenticity due to limited scrutiny during learning and examination periods.  </w:t>
      </w:r>
    </w:p>
    <w:p w:rsidR="00494230" w:rsidRPr="00FB78E2" w:rsidRDefault="00494230" w:rsidP="00494230">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The data indicated that the three elements which formed the basis of the study posed a statistical influence on the perceptions of both students and instructors. This implies that may be different findings could be recorded if the study was conducted over a longer duration than the current time. Therefore, this study recommends that additional research is carried out over a long period of time to minimize the influence of data to the participants.</w:t>
      </w:r>
    </w:p>
    <w:p w:rsidR="00134ABD" w:rsidRPr="00FB78E2" w:rsidRDefault="00494230" w:rsidP="00E87051">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 However, this study brings very potential insights that are necessary for building future literature for use in the fields of higher education and online learning. The social work educators can slow find this study to be of the essence as it highlights the significance and roles played by social work education in the society. Additionally, the study identifies social work education as an integral course that has minimal objection to be studied through online programs. The findings of this study will add to the existing pieces of literature that discuss the perceptions students and instructors have towards online education program</w:t>
      </w:r>
      <w:r>
        <w:rPr>
          <w:rFonts w:ascii="Times New Roman" w:hAnsi="Times New Roman" w:cs="Times New Roman"/>
          <w:sz w:val="24"/>
          <w:szCs w:val="24"/>
        </w:rPr>
        <w:t>.</w:t>
      </w:r>
      <w:r w:rsidR="00370B23">
        <w:rPr>
          <w:rFonts w:ascii="Times New Roman" w:hAnsi="Times New Roman" w:cs="Times New Roman"/>
          <w:sz w:val="24"/>
          <w:szCs w:val="24"/>
        </w:rPr>
        <w:t xml:space="preserve"> </w:t>
      </w:r>
      <w:r w:rsidR="00370B23" w:rsidRPr="00FB78E2">
        <w:rPr>
          <w:rFonts w:ascii="Times New Roman" w:hAnsi="Times New Roman" w:cs="Times New Roman"/>
          <w:sz w:val="24"/>
          <w:szCs w:val="24"/>
        </w:rPr>
        <w:t xml:space="preserve">The instructors theoretically match the need that is underlying within the call to action factor in higher education. </w:t>
      </w:r>
      <w:r w:rsidRPr="00FB78E2">
        <w:rPr>
          <w:rFonts w:ascii="Times New Roman" w:hAnsi="Times New Roman" w:cs="Times New Roman"/>
          <w:sz w:val="24"/>
          <w:szCs w:val="24"/>
        </w:rPr>
        <w:t xml:space="preserve"> Similarly this study presents findings that are up to date and they have limited manipulation of data meaning the data is genuine, and it cannot be a subject of swaying the community in a wrong direction, but rather it will act as the necessary roadmap for providing direction to continue constructing a strong educational background that is all around, observe equity, quality, and induces sense of belonging to students</w:t>
      </w:r>
      <w:r>
        <w:rPr>
          <w:rFonts w:ascii="Times New Roman" w:hAnsi="Times New Roman" w:cs="Times New Roman"/>
          <w:sz w:val="24"/>
          <w:szCs w:val="24"/>
        </w:rPr>
        <w:t>.</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lastRenderedPageBreak/>
        <w:t>Conclusion</w:t>
      </w:r>
    </w:p>
    <w:p w:rsidR="00370B23" w:rsidRDefault="00CB2AE8" w:rsidP="00E87051">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This chapter explained the procedures and methods used to give concrete insights into the perceptions students and instructors have toward online learning. The procedures were also necessary for analyzing the continuity of social work education and its incorporation in advancing higher education. The research design, problem, research questions, conceptual framework, sample population, as well as instrumentation were demonstrated. Besides, the chapter explained the data collection process in addition to the data analysis of the data obtained. Therefore, having examined the findings of the research and analyzation of the data obtained, this study concludes that online learning has a higher prevalence of preference among many instructors and students who take the option of pursuing higher education through online platforms. The stated purpose of this study was to analyze the perception of students and instructors towards online education. From the findings, it was clear that the increase in technological advancement has led to many people desiring to enroll for online education. The easy to access materials for learning online was also noted as one of the reasons many students are opting for online learning. Instructors have come on board as a collegial group of professionals who are esteemed to ensure there is unity in that will lead to success in online education</w:t>
      </w:r>
      <w:r w:rsidR="00134ABD">
        <w:rPr>
          <w:rFonts w:ascii="Times New Roman" w:hAnsi="Times New Roman" w:cs="Times New Roman"/>
          <w:sz w:val="24"/>
          <w:szCs w:val="24"/>
        </w:rPr>
        <w:t xml:space="preserve">. </w:t>
      </w:r>
      <w:r w:rsidR="00134ABD" w:rsidRPr="00FB78E2">
        <w:rPr>
          <w:rFonts w:ascii="Times New Roman" w:hAnsi="Times New Roman" w:cs="Times New Roman"/>
          <w:sz w:val="24"/>
          <w:szCs w:val="24"/>
        </w:rPr>
        <w:t>Moreover, the findings of this study may be an important beginning point for educational leaders as it may help them identify the sector of the education that needs immediate reform. As a result, the reformists may be in a position to understand how to conduct workshops and training as well as assembling data to use in creating opportunities for the society to understand the essence and significance of online education.</w:t>
      </w:r>
    </w:p>
    <w:p w:rsidR="006A3249" w:rsidRDefault="006A3249">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CB2AE8" w:rsidRPr="00FB78E2" w:rsidRDefault="00CB2AE8" w:rsidP="00CB2AE8">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lastRenderedPageBreak/>
        <w:t>References</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proofErr w:type="spellStart"/>
      <w:r w:rsidRPr="00FB78E2">
        <w:rPr>
          <w:rFonts w:ascii="Times New Roman" w:hAnsi="Times New Roman" w:cs="Times New Roman"/>
          <w:color w:val="222222"/>
          <w:sz w:val="24"/>
          <w:szCs w:val="24"/>
          <w:shd w:val="clear" w:color="auto" w:fill="FFFFFF"/>
        </w:rPr>
        <w:t>Antwi</w:t>
      </w:r>
      <w:proofErr w:type="spellEnd"/>
      <w:r w:rsidRPr="00FB78E2">
        <w:rPr>
          <w:rFonts w:ascii="Times New Roman" w:hAnsi="Times New Roman" w:cs="Times New Roman"/>
          <w:color w:val="222222"/>
          <w:sz w:val="24"/>
          <w:szCs w:val="24"/>
          <w:shd w:val="clear" w:color="auto" w:fill="FFFFFF"/>
        </w:rPr>
        <w:t>, S. K., &amp; Hamza, K. (2015). Qualitative and quantitative research paradigms in business research: A philosophical reflection. </w:t>
      </w:r>
      <w:r w:rsidRPr="00FB78E2">
        <w:rPr>
          <w:rFonts w:ascii="Times New Roman" w:hAnsi="Times New Roman" w:cs="Times New Roman"/>
          <w:i/>
          <w:iCs/>
          <w:color w:val="222222"/>
          <w:sz w:val="24"/>
          <w:szCs w:val="24"/>
          <w:shd w:val="clear" w:color="auto" w:fill="FFFFFF"/>
        </w:rPr>
        <w:t>European Journal of Business and Management</w:t>
      </w:r>
      <w:r w:rsidRPr="00FB78E2">
        <w:rPr>
          <w:rFonts w:ascii="Times New Roman" w:hAnsi="Times New Roman" w:cs="Times New Roman"/>
          <w:color w:val="222222"/>
          <w:sz w:val="24"/>
          <w:szCs w:val="24"/>
          <w:shd w:val="clear" w:color="auto" w:fill="FFFFFF"/>
        </w:rPr>
        <w:t>, </w:t>
      </w:r>
      <w:r w:rsidRPr="00FB78E2">
        <w:rPr>
          <w:rFonts w:ascii="Times New Roman" w:hAnsi="Times New Roman" w:cs="Times New Roman"/>
          <w:i/>
          <w:iCs/>
          <w:color w:val="222222"/>
          <w:sz w:val="24"/>
          <w:szCs w:val="24"/>
          <w:shd w:val="clear" w:color="auto" w:fill="FFFFFF"/>
        </w:rPr>
        <w:t>7</w:t>
      </w:r>
      <w:r w:rsidRPr="00FB78E2">
        <w:rPr>
          <w:rFonts w:ascii="Times New Roman" w:hAnsi="Times New Roman" w:cs="Times New Roman"/>
          <w:color w:val="222222"/>
          <w:sz w:val="24"/>
          <w:szCs w:val="24"/>
          <w:shd w:val="clear" w:color="auto" w:fill="FFFFFF"/>
        </w:rPr>
        <w:t>(3), 217-225.</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r w:rsidRPr="00FB78E2">
        <w:rPr>
          <w:rFonts w:ascii="Times New Roman" w:hAnsi="Times New Roman" w:cs="Times New Roman"/>
          <w:color w:val="222222"/>
          <w:sz w:val="24"/>
          <w:szCs w:val="24"/>
          <w:shd w:val="clear" w:color="auto" w:fill="FFFFFF"/>
        </w:rPr>
        <w:t>Creswell, J. W., &amp; Creswell, J. D. (2017). </w:t>
      </w:r>
      <w:r w:rsidRPr="00FB78E2">
        <w:rPr>
          <w:rFonts w:ascii="Times New Roman" w:hAnsi="Times New Roman" w:cs="Times New Roman"/>
          <w:i/>
          <w:iCs/>
          <w:color w:val="222222"/>
          <w:sz w:val="24"/>
          <w:szCs w:val="24"/>
          <w:shd w:val="clear" w:color="auto" w:fill="FFFFFF"/>
        </w:rPr>
        <w:t>Research design: Qualitative, quantitative, and mixed methods approaches</w:t>
      </w:r>
      <w:r w:rsidRPr="00FB78E2">
        <w:rPr>
          <w:rFonts w:ascii="Times New Roman" w:hAnsi="Times New Roman" w:cs="Times New Roman"/>
          <w:color w:val="222222"/>
          <w:sz w:val="24"/>
          <w:szCs w:val="24"/>
          <w:shd w:val="clear" w:color="auto" w:fill="FFFFFF"/>
        </w:rPr>
        <w:t>. Sage publications.</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r w:rsidRPr="00FB78E2">
        <w:rPr>
          <w:rFonts w:ascii="Times New Roman" w:hAnsi="Times New Roman" w:cs="Times New Roman"/>
          <w:color w:val="222222"/>
          <w:sz w:val="24"/>
          <w:szCs w:val="24"/>
          <w:shd w:val="clear" w:color="auto" w:fill="FFFFFF"/>
        </w:rPr>
        <w:t xml:space="preserve">Dillon, J., &amp; </w:t>
      </w:r>
      <w:proofErr w:type="spellStart"/>
      <w:r w:rsidRPr="00FB78E2">
        <w:rPr>
          <w:rFonts w:ascii="Times New Roman" w:hAnsi="Times New Roman" w:cs="Times New Roman"/>
          <w:color w:val="222222"/>
          <w:sz w:val="24"/>
          <w:szCs w:val="24"/>
          <w:shd w:val="clear" w:color="auto" w:fill="FFFFFF"/>
        </w:rPr>
        <w:t>Wals</w:t>
      </w:r>
      <w:proofErr w:type="spellEnd"/>
      <w:r w:rsidRPr="00FB78E2">
        <w:rPr>
          <w:rFonts w:ascii="Times New Roman" w:hAnsi="Times New Roman" w:cs="Times New Roman"/>
          <w:color w:val="222222"/>
          <w:sz w:val="24"/>
          <w:szCs w:val="24"/>
          <w:shd w:val="clear" w:color="auto" w:fill="FFFFFF"/>
        </w:rPr>
        <w:t>, A. E. (2016). On the dangers of blurring methods, methodologies and ideologies in environmental education research. In </w:t>
      </w:r>
      <w:r w:rsidRPr="00FB78E2">
        <w:rPr>
          <w:rFonts w:ascii="Times New Roman" w:hAnsi="Times New Roman" w:cs="Times New Roman"/>
          <w:i/>
          <w:iCs/>
          <w:color w:val="222222"/>
          <w:sz w:val="24"/>
          <w:szCs w:val="24"/>
          <w:shd w:val="clear" w:color="auto" w:fill="FFFFFF"/>
        </w:rPr>
        <w:t>Towards a Convergence Between Science and Environmental Education</w:t>
      </w:r>
      <w:r w:rsidRPr="00FB78E2">
        <w:rPr>
          <w:rFonts w:ascii="Times New Roman" w:hAnsi="Times New Roman" w:cs="Times New Roman"/>
          <w:color w:val="222222"/>
          <w:sz w:val="24"/>
          <w:szCs w:val="24"/>
          <w:shd w:val="clear" w:color="auto" w:fill="FFFFFF"/>
        </w:rPr>
        <w:t> (pp. 113-124). Routledge.</w:t>
      </w:r>
    </w:p>
    <w:p w:rsidR="00CB2AE8" w:rsidRPr="00FB78E2" w:rsidRDefault="00CB2AE8" w:rsidP="00CB2AE8">
      <w:pPr>
        <w:spacing w:line="480" w:lineRule="auto"/>
        <w:ind w:left="720" w:hanging="720"/>
        <w:rPr>
          <w:rFonts w:ascii="Times New Roman" w:hAnsi="Times New Roman" w:cs="Times New Roman"/>
          <w:i/>
          <w:iCs/>
          <w:color w:val="222222"/>
          <w:sz w:val="24"/>
          <w:szCs w:val="24"/>
          <w:shd w:val="clear" w:color="auto" w:fill="FFFFFF"/>
        </w:rPr>
      </w:pPr>
      <w:proofErr w:type="spellStart"/>
      <w:r w:rsidRPr="00FB78E2">
        <w:rPr>
          <w:rFonts w:ascii="Times New Roman" w:hAnsi="Times New Roman" w:cs="Times New Roman"/>
          <w:color w:val="222222"/>
          <w:sz w:val="24"/>
          <w:szCs w:val="24"/>
          <w:shd w:val="clear" w:color="auto" w:fill="FFFFFF"/>
        </w:rPr>
        <w:t>Hadi</w:t>
      </w:r>
      <w:proofErr w:type="spellEnd"/>
      <w:r w:rsidRPr="00FB78E2">
        <w:rPr>
          <w:rFonts w:ascii="Times New Roman" w:hAnsi="Times New Roman" w:cs="Times New Roman"/>
          <w:color w:val="222222"/>
          <w:sz w:val="24"/>
          <w:szCs w:val="24"/>
          <w:shd w:val="clear" w:color="auto" w:fill="FFFFFF"/>
        </w:rPr>
        <w:t xml:space="preserve">, M. A., &amp; </w:t>
      </w:r>
      <w:proofErr w:type="spellStart"/>
      <w:r w:rsidRPr="00FB78E2">
        <w:rPr>
          <w:rFonts w:ascii="Times New Roman" w:hAnsi="Times New Roman" w:cs="Times New Roman"/>
          <w:color w:val="222222"/>
          <w:sz w:val="24"/>
          <w:szCs w:val="24"/>
          <w:shd w:val="clear" w:color="auto" w:fill="FFFFFF"/>
        </w:rPr>
        <w:t>Closs</w:t>
      </w:r>
      <w:proofErr w:type="spellEnd"/>
      <w:r w:rsidRPr="00FB78E2">
        <w:rPr>
          <w:rFonts w:ascii="Times New Roman" w:hAnsi="Times New Roman" w:cs="Times New Roman"/>
          <w:color w:val="222222"/>
          <w:sz w:val="24"/>
          <w:szCs w:val="24"/>
          <w:shd w:val="clear" w:color="auto" w:fill="FFFFFF"/>
        </w:rPr>
        <w:t xml:space="preserve">, S. J. (2016). Ensuring </w:t>
      </w:r>
      <w:proofErr w:type="spellStart"/>
      <w:r w:rsidRPr="00FB78E2">
        <w:rPr>
          <w:rFonts w:ascii="Times New Roman" w:hAnsi="Times New Roman" w:cs="Times New Roman"/>
          <w:color w:val="222222"/>
          <w:sz w:val="24"/>
          <w:szCs w:val="24"/>
          <w:shd w:val="clear" w:color="auto" w:fill="FFFFFF"/>
        </w:rPr>
        <w:t>rigour</w:t>
      </w:r>
      <w:proofErr w:type="spellEnd"/>
      <w:r w:rsidRPr="00FB78E2">
        <w:rPr>
          <w:rFonts w:ascii="Times New Roman" w:hAnsi="Times New Roman" w:cs="Times New Roman"/>
          <w:color w:val="222222"/>
          <w:sz w:val="24"/>
          <w:szCs w:val="24"/>
          <w:shd w:val="clear" w:color="auto" w:fill="FFFFFF"/>
        </w:rPr>
        <w:t xml:space="preserve"> and trustworthiness of qualitative research in clinical pharmacy. </w:t>
      </w:r>
      <w:r w:rsidRPr="00FB78E2">
        <w:rPr>
          <w:rFonts w:ascii="Times New Roman" w:hAnsi="Times New Roman" w:cs="Times New Roman"/>
          <w:i/>
          <w:iCs/>
          <w:color w:val="222222"/>
          <w:sz w:val="24"/>
          <w:szCs w:val="24"/>
          <w:shd w:val="clear" w:color="auto" w:fill="FFFFFF"/>
        </w:rPr>
        <w:t>International journal of clinical pharmacy</w:t>
      </w:r>
      <w:r w:rsidRPr="00FB78E2">
        <w:rPr>
          <w:rFonts w:ascii="Times New Roman" w:hAnsi="Times New Roman" w:cs="Times New Roman"/>
          <w:color w:val="222222"/>
          <w:sz w:val="24"/>
          <w:szCs w:val="24"/>
          <w:shd w:val="clear" w:color="auto" w:fill="FFFFFF"/>
        </w:rPr>
        <w:t>, </w:t>
      </w:r>
      <w:r w:rsidRPr="00FB78E2">
        <w:rPr>
          <w:rFonts w:ascii="Times New Roman" w:hAnsi="Times New Roman" w:cs="Times New Roman"/>
          <w:i/>
          <w:iCs/>
          <w:color w:val="222222"/>
          <w:sz w:val="24"/>
          <w:szCs w:val="24"/>
          <w:shd w:val="clear" w:color="auto" w:fill="FFFFFF"/>
        </w:rPr>
        <w:t>38</w:t>
      </w:r>
      <w:r w:rsidRPr="00FB78E2">
        <w:rPr>
          <w:rFonts w:ascii="Times New Roman" w:hAnsi="Times New Roman" w:cs="Times New Roman"/>
          <w:color w:val="222222"/>
          <w:sz w:val="24"/>
          <w:szCs w:val="24"/>
          <w:shd w:val="clear" w:color="auto" w:fill="FFFFFF"/>
        </w:rPr>
        <w:t>(3), 641-646.</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r w:rsidRPr="00FB78E2">
        <w:rPr>
          <w:rFonts w:ascii="Times New Roman" w:hAnsi="Times New Roman" w:cs="Times New Roman"/>
          <w:color w:val="222222"/>
          <w:sz w:val="24"/>
          <w:szCs w:val="24"/>
          <w:shd w:val="clear" w:color="auto" w:fill="FFFFFF"/>
        </w:rPr>
        <w:t>Ingham-Broomfield, R. (2015). A nurses' guide to qualitative research. </w:t>
      </w:r>
      <w:r w:rsidRPr="00FB78E2">
        <w:rPr>
          <w:rFonts w:ascii="Times New Roman" w:hAnsi="Times New Roman" w:cs="Times New Roman"/>
          <w:i/>
          <w:iCs/>
          <w:color w:val="222222"/>
          <w:sz w:val="24"/>
          <w:szCs w:val="24"/>
          <w:shd w:val="clear" w:color="auto" w:fill="FFFFFF"/>
        </w:rPr>
        <w:t>Australian Journal of Advanced Nursing, The</w:t>
      </w:r>
      <w:r w:rsidRPr="00FB78E2">
        <w:rPr>
          <w:rFonts w:ascii="Times New Roman" w:hAnsi="Times New Roman" w:cs="Times New Roman"/>
          <w:color w:val="222222"/>
          <w:sz w:val="24"/>
          <w:szCs w:val="24"/>
          <w:shd w:val="clear" w:color="auto" w:fill="FFFFFF"/>
        </w:rPr>
        <w:t>, </w:t>
      </w:r>
      <w:r w:rsidRPr="00FB78E2">
        <w:rPr>
          <w:rFonts w:ascii="Times New Roman" w:hAnsi="Times New Roman" w:cs="Times New Roman"/>
          <w:i/>
          <w:iCs/>
          <w:color w:val="222222"/>
          <w:sz w:val="24"/>
          <w:szCs w:val="24"/>
          <w:shd w:val="clear" w:color="auto" w:fill="FFFFFF"/>
        </w:rPr>
        <w:t>32</w:t>
      </w:r>
      <w:r w:rsidRPr="00FB78E2">
        <w:rPr>
          <w:rFonts w:ascii="Times New Roman" w:hAnsi="Times New Roman" w:cs="Times New Roman"/>
          <w:color w:val="222222"/>
          <w:sz w:val="24"/>
          <w:szCs w:val="24"/>
          <w:shd w:val="clear" w:color="auto" w:fill="FFFFFF"/>
        </w:rPr>
        <w:t>(3), 34.</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r w:rsidRPr="00FB78E2">
        <w:rPr>
          <w:rFonts w:ascii="Times New Roman" w:hAnsi="Times New Roman" w:cs="Times New Roman"/>
          <w:color w:val="222222"/>
          <w:sz w:val="24"/>
          <w:szCs w:val="24"/>
          <w:shd w:val="clear" w:color="auto" w:fill="FFFFFF"/>
        </w:rPr>
        <w:t>Katz, J. (2015). A theory of qualitative methodology: The social system of analytic fieldwork. </w:t>
      </w:r>
      <w:proofErr w:type="spellStart"/>
      <w:r w:rsidRPr="00FB78E2">
        <w:rPr>
          <w:rFonts w:ascii="Times New Roman" w:hAnsi="Times New Roman" w:cs="Times New Roman"/>
          <w:i/>
          <w:iCs/>
          <w:color w:val="222222"/>
          <w:sz w:val="24"/>
          <w:szCs w:val="24"/>
          <w:shd w:val="clear" w:color="auto" w:fill="FFFFFF"/>
        </w:rPr>
        <w:t>Méthod</w:t>
      </w:r>
      <w:proofErr w:type="spellEnd"/>
      <w:r w:rsidRPr="00FB78E2">
        <w:rPr>
          <w:rFonts w:ascii="Times New Roman" w:hAnsi="Times New Roman" w:cs="Times New Roman"/>
          <w:i/>
          <w:iCs/>
          <w:color w:val="222222"/>
          <w:sz w:val="24"/>
          <w:szCs w:val="24"/>
          <w:shd w:val="clear" w:color="auto" w:fill="FFFFFF"/>
        </w:rPr>
        <w:t xml:space="preserve"> (e) s: African Review of Social Sciences Methodology</w:t>
      </w:r>
      <w:r w:rsidRPr="00FB78E2">
        <w:rPr>
          <w:rFonts w:ascii="Times New Roman" w:hAnsi="Times New Roman" w:cs="Times New Roman"/>
          <w:color w:val="222222"/>
          <w:sz w:val="24"/>
          <w:szCs w:val="24"/>
          <w:shd w:val="clear" w:color="auto" w:fill="FFFFFF"/>
        </w:rPr>
        <w:t>, </w:t>
      </w:r>
      <w:r w:rsidRPr="00FB78E2">
        <w:rPr>
          <w:rFonts w:ascii="Times New Roman" w:hAnsi="Times New Roman" w:cs="Times New Roman"/>
          <w:i/>
          <w:iCs/>
          <w:color w:val="222222"/>
          <w:sz w:val="24"/>
          <w:szCs w:val="24"/>
          <w:shd w:val="clear" w:color="auto" w:fill="FFFFFF"/>
        </w:rPr>
        <w:t>1</w:t>
      </w:r>
      <w:r w:rsidRPr="00FB78E2">
        <w:rPr>
          <w:rFonts w:ascii="Times New Roman" w:hAnsi="Times New Roman" w:cs="Times New Roman"/>
          <w:color w:val="222222"/>
          <w:sz w:val="24"/>
          <w:szCs w:val="24"/>
          <w:shd w:val="clear" w:color="auto" w:fill="FFFFFF"/>
        </w:rPr>
        <w:t>(1-2), 131-146.</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r w:rsidRPr="00FB78E2">
        <w:rPr>
          <w:rFonts w:ascii="Times New Roman" w:hAnsi="Times New Roman" w:cs="Times New Roman"/>
          <w:color w:val="222222"/>
          <w:sz w:val="24"/>
          <w:szCs w:val="24"/>
          <w:shd w:val="clear" w:color="auto" w:fill="FFFFFF"/>
        </w:rPr>
        <w:t>Mayer, I. (2015). Qualitative research with a focus on qualitative data analysis. </w:t>
      </w:r>
      <w:r w:rsidRPr="00FB78E2">
        <w:rPr>
          <w:rFonts w:ascii="Times New Roman" w:hAnsi="Times New Roman" w:cs="Times New Roman"/>
          <w:i/>
          <w:iCs/>
          <w:color w:val="222222"/>
          <w:sz w:val="24"/>
          <w:szCs w:val="24"/>
          <w:shd w:val="clear" w:color="auto" w:fill="FFFFFF"/>
        </w:rPr>
        <w:t>International Journal of Sales, Retailing &amp; Marketing</w:t>
      </w:r>
      <w:r w:rsidRPr="00FB78E2">
        <w:rPr>
          <w:rFonts w:ascii="Times New Roman" w:hAnsi="Times New Roman" w:cs="Times New Roman"/>
          <w:color w:val="222222"/>
          <w:sz w:val="24"/>
          <w:szCs w:val="24"/>
          <w:shd w:val="clear" w:color="auto" w:fill="FFFFFF"/>
        </w:rPr>
        <w:t>, </w:t>
      </w:r>
      <w:r w:rsidRPr="00FB78E2">
        <w:rPr>
          <w:rFonts w:ascii="Times New Roman" w:hAnsi="Times New Roman" w:cs="Times New Roman"/>
          <w:i/>
          <w:iCs/>
          <w:color w:val="222222"/>
          <w:sz w:val="24"/>
          <w:szCs w:val="24"/>
          <w:shd w:val="clear" w:color="auto" w:fill="FFFFFF"/>
        </w:rPr>
        <w:t>4</w:t>
      </w:r>
      <w:r w:rsidRPr="00FB78E2">
        <w:rPr>
          <w:rFonts w:ascii="Times New Roman" w:hAnsi="Times New Roman" w:cs="Times New Roman"/>
          <w:color w:val="222222"/>
          <w:sz w:val="24"/>
          <w:szCs w:val="24"/>
          <w:shd w:val="clear" w:color="auto" w:fill="FFFFFF"/>
        </w:rPr>
        <w:t>(9), 53-67.</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proofErr w:type="spellStart"/>
      <w:r w:rsidRPr="00FB78E2">
        <w:rPr>
          <w:rFonts w:ascii="Times New Roman" w:hAnsi="Times New Roman" w:cs="Times New Roman"/>
          <w:color w:val="222222"/>
          <w:sz w:val="24"/>
          <w:szCs w:val="24"/>
          <w:shd w:val="clear" w:color="auto" w:fill="FFFFFF"/>
        </w:rPr>
        <w:t>McCusker</w:t>
      </w:r>
      <w:proofErr w:type="spellEnd"/>
      <w:r w:rsidRPr="00FB78E2">
        <w:rPr>
          <w:rFonts w:ascii="Times New Roman" w:hAnsi="Times New Roman" w:cs="Times New Roman"/>
          <w:color w:val="222222"/>
          <w:sz w:val="24"/>
          <w:szCs w:val="24"/>
          <w:shd w:val="clear" w:color="auto" w:fill="FFFFFF"/>
        </w:rPr>
        <w:t xml:space="preserve">, K., &amp; </w:t>
      </w:r>
      <w:proofErr w:type="spellStart"/>
      <w:r w:rsidRPr="00FB78E2">
        <w:rPr>
          <w:rFonts w:ascii="Times New Roman" w:hAnsi="Times New Roman" w:cs="Times New Roman"/>
          <w:color w:val="222222"/>
          <w:sz w:val="24"/>
          <w:szCs w:val="24"/>
          <w:shd w:val="clear" w:color="auto" w:fill="FFFFFF"/>
        </w:rPr>
        <w:t>Gunaydin</w:t>
      </w:r>
      <w:proofErr w:type="spellEnd"/>
      <w:r w:rsidRPr="00FB78E2">
        <w:rPr>
          <w:rFonts w:ascii="Times New Roman" w:hAnsi="Times New Roman" w:cs="Times New Roman"/>
          <w:color w:val="222222"/>
          <w:sz w:val="24"/>
          <w:szCs w:val="24"/>
          <w:shd w:val="clear" w:color="auto" w:fill="FFFFFF"/>
        </w:rPr>
        <w:t>, S. (2015). Research using qualitative, quantitative or mixed methods and choice based on the research. </w:t>
      </w:r>
      <w:r w:rsidRPr="00FB78E2">
        <w:rPr>
          <w:rFonts w:ascii="Times New Roman" w:hAnsi="Times New Roman" w:cs="Times New Roman"/>
          <w:i/>
          <w:iCs/>
          <w:color w:val="222222"/>
          <w:sz w:val="24"/>
          <w:szCs w:val="24"/>
          <w:shd w:val="clear" w:color="auto" w:fill="FFFFFF"/>
        </w:rPr>
        <w:t>Perfusion</w:t>
      </w:r>
      <w:r w:rsidRPr="00FB78E2">
        <w:rPr>
          <w:rFonts w:ascii="Times New Roman" w:hAnsi="Times New Roman" w:cs="Times New Roman"/>
          <w:color w:val="222222"/>
          <w:sz w:val="24"/>
          <w:szCs w:val="24"/>
          <w:shd w:val="clear" w:color="auto" w:fill="FFFFFF"/>
        </w:rPr>
        <w:t>, </w:t>
      </w:r>
      <w:r w:rsidRPr="00FB78E2">
        <w:rPr>
          <w:rFonts w:ascii="Times New Roman" w:hAnsi="Times New Roman" w:cs="Times New Roman"/>
          <w:i/>
          <w:iCs/>
          <w:color w:val="222222"/>
          <w:sz w:val="24"/>
          <w:szCs w:val="24"/>
          <w:shd w:val="clear" w:color="auto" w:fill="FFFFFF"/>
        </w:rPr>
        <w:t>30</w:t>
      </w:r>
      <w:r w:rsidRPr="00FB78E2">
        <w:rPr>
          <w:rFonts w:ascii="Times New Roman" w:hAnsi="Times New Roman" w:cs="Times New Roman"/>
          <w:color w:val="222222"/>
          <w:sz w:val="24"/>
          <w:szCs w:val="24"/>
          <w:shd w:val="clear" w:color="auto" w:fill="FFFFFF"/>
        </w:rPr>
        <w:t>(7), 537-542.</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r w:rsidRPr="00FB78E2">
        <w:rPr>
          <w:rFonts w:ascii="Times New Roman" w:hAnsi="Times New Roman" w:cs="Times New Roman"/>
          <w:color w:val="222222"/>
          <w:sz w:val="24"/>
          <w:szCs w:val="24"/>
          <w:shd w:val="clear" w:color="auto" w:fill="FFFFFF"/>
        </w:rPr>
        <w:lastRenderedPageBreak/>
        <w:t>McNabb, D. E. (2015). </w:t>
      </w:r>
      <w:r w:rsidRPr="00FB78E2">
        <w:rPr>
          <w:rFonts w:ascii="Times New Roman" w:hAnsi="Times New Roman" w:cs="Times New Roman"/>
          <w:i/>
          <w:iCs/>
          <w:color w:val="222222"/>
          <w:sz w:val="24"/>
          <w:szCs w:val="24"/>
          <w:shd w:val="clear" w:color="auto" w:fill="FFFFFF"/>
        </w:rPr>
        <w:t>Research methods for political science: Quantitative and qualitative methods</w:t>
      </w:r>
      <w:r w:rsidRPr="00FB78E2">
        <w:rPr>
          <w:rFonts w:ascii="Times New Roman" w:hAnsi="Times New Roman" w:cs="Times New Roman"/>
          <w:color w:val="222222"/>
          <w:sz w:val="24"/>
          <w:szCs w:val="24"/>
          <w:shd w:val="clear" w:color="auto" w:fill="FFFFFF"/>
        </w:rPr>
        <w:t>. Routledge.</w:t>
      </w:r>
    </w:p>
    <w:p w:rsidR="00E641F4" w:rsidRDefault="00E641F4"/>
    <w:sectPr w:rsidR="00E641F4" w:rsidSect="00C642A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F7E" w:rsidRDefault="008E5F7E">
      <w:pPr>
        <w:spacing w:after="0" w:line="240" w:lineRule="auto"/>
      </w:pPr>
      <w:r>
        <w:separator/>
      </w:r>
    </w:p>
  </w:endnote>
  <w:endnote w:type="continuationSeparator" w:id="0">
    <w:p w:rsidR="008E5F7E" w:rsidRDefault="008E5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F7E" w:rsidRDefault="008E5F7E">
      <w:pPr>
        <w:spacing w:after="0" w:line="240" w:lineRule="auto"/>
      </w:pPr>
      <w:r>
        <w:separator/>
      </w:r>
    </w:p>
  </w:footnote>
  <w:footnote w:type="continuationSeparator" w:id="0">
    <w:p w:rsidR="008E5F7E" w:rsidRDefault="008E5F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325123932"/>
      <w:docPartObj>
        <w:docPartGallery w:val="Page Numbers (Top of Page)"/>
        <w:docPartUnique/>
      </w:docPartObj>
    </w:sdtPr>
    <w:sdtEndPr>
      <w:rPr>
        <w:noProof/>
      </w:rPr>
    </w:sdtEndPr>
    <w:sdtContent>
      <w:p w:rsidR="00AC7A31" w:rsidRPr="00FB78E2" w:rsidRDefault="00E74E41" w:rsidP="00FB78E2">
        <w:pPr>
          <w:pStyle w:val="Header"/>
          <w:jc w:val="right"/>
          <w:rPr>
            <w:rFonts w:ascii="Times New Roman" w:hAnsi="Times New Roman" w:cs="Times New Roman"/>
            <w:sz w:val="16"/>
            <w:szCs w:val="16"/>
          </w:rPr>
        </w:pPr>
        <w:r w:rsidRPr="00FB78E2">
          <w:rPr>
            <w:rFonts w:ascii="Times New Roman" w:hAnsi="Times New Roman" w:cs="Times New Roman"/>
            <w:sz w:val="16"/>
            <w:szCs w:val="16"/>
          </w:rPr>
          <w:t>CHANGING DYNAMICS AND STUDENTS’ PERCEPTIONS OF ONLINE HIGHER EDUCATION</w:t>
        </w:r>
        <w:r>
          <w:rPr>
            <w:rFonts w:ascii="Times New Roman" w:hAnsi="Times New Roman" w:cs="Times New Roman"/>
            <w:sz w:val="16"/>
            <w:szCs w:val="16"/>
          </w:rPr>
          <w:t xml:space="preserve">                                                                </w:t>
        </w:r>
        <w:r w:rsidRPr="00FB78E2">
          <w:rPr>
            <w:rFonts w:ascii="Times New Roman" w:hAnsi="Times New Roman" w:cs="Times New Roman"/>
            <w:sz w:val="16"/>
            <w:szCs w:val="16"/>
          </w:rPr>
          <w:fldChar w:fldCharType="begin"/>
        </w:r>
        <w:r w:rsidRPr="00FB78E2">
          <w:rPr>
            <w:rFonts w:ascii="Times New Roman" w:hAnsi="Times New Roman" w:cs="Times New Roman"/>
            <w:sz w:val="16"/>
            <w:szCs w:val="16"/>
          </w:rPr>
          <w:instrText xml:space="preserve"> PAGE   \* MERGEFORMAT </w:instrText>
        </w:r>
        <w:r w:rsidRPr="00FB78E2">
          <w:rPr>
            <w:rFonts w:ascii="Times New Roman" w:hAnsi="Times New Roman" w:cs="Times New Roman"/>
            <w:sz w:val="16"/>
            <w:szCs w:val="16"/>
          </w:rPr>
          <w:fldChar w:fldCharType="separate"/>
        </w:r>
        <w:r w:rsidR="004C751F">
          <w:rPr>
            <w:rFonts w:ascii="Times New Roman" w:hAnsi="Times New Roman" w:cs="Times New Roman"/>
            <w:noProof/>
            <w:sz w:val="16"/>
            <w:szCs w:val="16"/>
          </w:rPr>
          <w:t>2</w:t>
        </w:r>
        <w:r w:rsidRPr="00FB78E2">
          <w:rPr>
            <w:rFonts w:ascii="Times New Roman" w:hAnsi="Times New Roman" w:cs="Times New Roman"/>
            <w:noProof/>
            <w:sz w:val="16"/>
            <w:szCs w:val="16"/>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1688950052"/>
      <w:docPartObj>
        <w:docPartGallery w:val="Page Numbers (Top of Page)"/>
        <w:docPartUnique/>
      </w:docPartObj>
    </w:sdtPr>
    <w:sdtEndPr>
      <w:rPr>
        <w:noProof/>
      </w:rPr>
    </w:sdtEndPr>
    <w:sdtContent>
      <w:p w:rsidR="00FB78E2" w:rsidRPr="00FB78E2" w:rsidRDefault="00E74E41" w:rsidP="00FB78E2">
        <w:pPr>
          <w:pStyle w:val="Header"/>
          <w:jc w:val="right"/>
          <w:rPr>
            <w:rFonts w:ascii="Times New Roman" w:hAnsi="Times New Roman" w:cs="Times New Roman"/>
            <w:sz w:val="16"/>
            <w:szCs w:val="16"/>
          </w:rPr>
        </w:pPr>
        <w:r w:rsidRPr="00FB78E2">
          <w:rPr>
            <w:rFonts w:ascii="Times New Roman" w:hAnsi="Times New Roman" w:cs="Times New Roman"/>
            <w:sz w:val="16"/>
            <w:szCs w:val="16"/>
          </w:rPr>
          <w:t xml:space="preserve">Running head: CHANGING DYNAMICS AND STUDENTS’ PERCEPTIONS OF ONLINE HIGHER EDUCATION   </w:t>
        </w:r>
        <w:r>
          <w:rPr>
            <w:rFonts w:ascii="Times New Roman" w:hAnsi="Times New Roman" w:cs="Times New Roman"/>
            <w:sz w:val="16"/>
            <w:szCs w:val="16"/>
          </w:rPr>
          <w:t xml:space="preserve">                </w:t>
        </w:r>
        <w:r w:rsidRPr="00FB78E2">
          <w:rPr>
            <w:rFonts w:ascii="Times New Roman" w:hAnsi="Times New Roman" w:cs="Times New Roman"/>
            <w:sz w:val="16"/>
            <w:szCs w:val="16"/>
          </w:rPr>
          <w:t xml:space="preserve">                      </w:t>
        </w:r>
        <w:r w:rsidRPr="00FB78E2">
          <w:rPr>
            <w:rFonts w:ascii="Times New Roman" w:hAnsi="Times New Roman" w:cs="Times New Roman"/>
            <w:sz w:val="16"/>
            <w:szCs w:val="16"/>
          </w:rPr>
          <w:fldChar w:fldCharType="begin"/>
        </w:r>
        <w:r w:rsidRPr="00FB78E2">
          <w:rPr>
            <w:rFonts w:ascii="Times New Roman" w:hAnsi="Times New Roman" w:cs="Times New Roman"/>
            <w:sz w:val="16"/>
            <w:szCs w:val="16"/>
          </w:rPr>
          <w:instrText xml:space="preserve"> PAGE   \* MERGEFORMAT </w:instrText>
        </w:r>
        <w:r w:rsidRPr="00FB78E2">
          <w:rPr>
            <w:rFonts w:ascii="Times New Roman" w:hAnsi="Times New Roman" w:cs="Times New Roman"/>
            <w:sz w:val="16"/>
            <w:szCs w:val="16"/>
          </w:rPr>
          <w:fldChar w:fldCharType="separate"/>
        </w:r>
        <w:r w:rsidR="004C751F">
          <w:rPr>
            <w:rFonts w:ascii="Times New Roman" w:hAnsi="Times New Roman" w:cs="Times New Roman"/>
            <w:noProof/>
            <w:sz w:val="16"/>
            <w:szCs w:val="16"/>
          </w:rPr>
          <w:t>1</w:t>
        </w:r>
        <w:r w:rsidRPr="00FB78E2">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AE8"/>
    <w:rsid w:val="00134ABD"/>
    <w:rsid w:val="00137898"/>
    <w:rsid w:val="001526FA"/>
    <w:rsid w:val="00370B23"/>
    <w:rsid w:val="00494230"/>
    <w:rsid w:val="004C751F"/>
    <w:rsid w:val="004D4BE1"/>
    <w:rsid w:val="00532A77"/>
    <w:rsid w:val="005C68C5"/>
    <w:rsid w:val="005E47DA"/>
    <w:rsid w:val="006A3249"/>
    <w:rsid w:val="008E5F7E"/>
    <w:rsid w:val="009119E2"/>
    <w:rsid w:val="00CB2AE8"/>
    <w:rsid w:val="00E641F4"/>
    <w:rsid w:val="00E74E41"/>
    <w:rsid w:val="00E87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AE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B2AE8"/>
    <w:pPr>
      <w:spacing w:after="160" w:line="254" w:lineRule="auto"/>
    </w:pPr>
    <w:rPr>
      <w:rFonts w:ascii="Calibri" w:eastAsia="Calibri" w:hAnsi="Calibri" w:cs="Calibri"/>
      <w:color w:val="000000"/>
      <w:u w:color="000000"/>
    </w:rPr>
  </w:style>
  <w:style w:type="table" w:styleId="TableGrid">
    <w:name w:val="Table Grid"/>
    <w:basedOn w:val="TableNormal"/>
    <w:uiPriority w:val="39"/>
    <w:rsid w:val="00CB2A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B2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AE8"/>
  </w:style>
  <w:style w:type="paragraph" w:styleId="BalloonText">
    <w:name w:val="Balloon Text"/>
    <w:basedOn w:val="Normal"/>
    <w:link w:val="BalloonTextChar"/>
    <w:uiPriority w:val="99"/>
    <w:semiHidden/>
    <w:unhideWhenUsed/>
    <w:rsid w:val="00E74E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4E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AE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B2AE8"/>
    <w:pPr>
      <w:spacing w:after="160" w:line="254" w:lineRule="auto"/>
    </w:pPr>
    <w:rPr>
      <w:rFonts w:ascii="Calibri" w:eastAsia="Calibri" w:hAnsi="Calibri" w:cs="Calibri"/>
      <w:color w:val="000000"/>
      <w:u w:color="000000"/>
    </w:rPr>
  </w:style>
  <w:style w:type="table" w:styleId="TableGrid">
    <w:name w:val="Table Grid"/>
    <w:basedOn w:val="TableNormal"/>
    <w:uiPriority w:val="39"/>
    <w:rsid w:val="00CB2A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B2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AE8"/>
  </w:style>
  <w:style w:type="paragraph" w:styleId="BalloonText">
    <w:name w:val="Balloon Text"/>
    <w:basedOn w:val="Normal"/>
    <w:link w:val="BalloonTextChar"/>
    <w:uiPriority w:val="99"/>
    <w:semiHidden/>
    <w:unhideWhenUsed/>
    <w:rsid w:val="00E74E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4E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18</Pages>
  <Words>4286</Words>
  <Characters>24432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2019-03-29T06:09:00Z</dcterms:created>
  <dcterms:modified xsi:type="dcterms:W3CDTF">2019-03-29T08:28:00Z</dcterms:modified>
</cp:coreProperties>
</file>