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831DB" w14:textId="77777777" w:rsidR="00CE6E80" w:rsidRDefault="00CE6E80" w:rsidP="006B0C23">
      <w:pPr>
        <w:spacing w:after="0" w:line="480" w:lineRule="auto"/>
        <w:rPr>
          <w:rFonts w:ascii="Times New Roman" w:eastAsia="Times New Roman" w:hAnsi="Times New Roman" w:cs="Times New Roman"/>
          <w:b/>
          <w:bCs/>
          <w:color w:val="0E101A"/>
          <w:sz w:val="24"/>
          <w:szCs w:val="24"/>
          <w:lang/>
        </w:rPr>
      </w:pPr>
      <w:bookmarkStart w:id="0" w:name="_GoBack"/>
      <w:bookmarkEnd w:id="0"/>
    </w:p>
    <w:p w14:paraId="043EAFF9" w14:textId="77777777" w:rsidR="00FB26B2" w:rsidRDefault="00FB26B2" w:rsidP="00FB26B2">
      <w:pPr>
        <w:spacing w:after="0" w:line="480" w:lineRule="auto"/>
        <w:jc w:val="center"/>
        <w:rPr>
          <w:rFonts w:ascii="Times New Roman" w:hAnsi="Times New Roman" w:cs="Times New Roman"/>
          <w:sz w:val="24"/>
          <w:szCs w:val="24"/>
        </w:rPr>
      </w:pPr>
    </w:p>
    <w:p w14:paraId="153B2BE1" w14:textId="77777777" w:rsidR="00FB26B2" w:rsidRDefault="00FB26B2" w:rsidP="00FB26B2">
      <w:pPr>
        <w:spacing w:after="0" w:line="480" w:lineRule="auto"/>
        <w:jc w:val="center"/>
        <w:rPr>
          <w:rFonts w:ascii="Times New Roman" w:hAnsi="Times New Roman" w:cs="Times New Roman"/>
          <w:sz w:val="24"/>
          <w:szCs w:val="24"/>
        </w:rPr>
      </w:pPr>
    </w:p>
    <w:p w14:paraId="5097142A" w14:textId="77777777" w:rsidR="00FB26B2" w:rsidRDefault="00FB26B2" w:rsidP="00FB26B2">
      <w:pPr>
        <w:spacing w:after="0" w:line="480" w:lineRule="auto"/>
        <w:jc w:val="center"/>
        <w:rPr>
          <w:rFonts w:ascii="Times New Roman" w:hAnsi="Times New Roman" w:cs="Times New Roman"/>
          <w:sz w:val="24"/>
          <w:szCs w:val="24"/>
        </w:rPr>
      </w:pPr>
    </w:p>
    <w:p w14:paraId="07BFD4E9" w14:textId="77777777" w:rsidR="00FB26B2" w:rsidRDefault="00FB26B2" w:rsidP="00FB26B2">
      <w:pPr>
        <w:spacing w:after="0" w:line="480" w:lineRule="auto"/>
        <w:jc w:val="center"/>
        <w:rPr>
          <w:rFonts w:ascii="Times New Roman" w:hAnsi="Times New Roman" w:cs="Times New Roman"/>
          <w:sz w:val="24"/>
          <w:szCs w:val="24"/>
        </w:rPr>
      </w:pPr>
    </w:p>
    <w:p w14:paraId="20FB385F" w14:textId="4EED7C21" w:rsidR="00CE6E80" w:rsidRPr="00202C3E" w:rsidRDefault="00CE6E80" w:rsidP="00FB26B2">
      <w:pPr>
        <w:spacing w:after="0" w:line="480" w:lineRule="auto"/>
        <w:jc w:val="center"/>
        <w:rPr>
          <w:rFonts w:ascii="Times New Roman" w:hAnsi="Times New Roman" w:cs="Times New Roman"/>
          <w:sz w:val="24"/>
          <w:szCs w:val="24"/>
        </w:rPr>
      </w:pPr>
      <w:bookmarkStart w:id="1" w:name="_Hlk69242265"/>
      <w:r w:rsidRPr="00202C3E">
        <w:rPr>
          <w:rFonts w:ascii="Times New Roman" w:hAnsi="Times New Roman" w:cs="Times New Roman"/>
          <w:sz w:val="24"/>
          <w:szCs w:val="24"/>
        </w:rPr>
        <w:t>Student’s Name</w:t>
      </w:r>
    </w:p>
    <w:p w14:paraId="60AE5B8B" w14:textId="77777777" w:rsidR="00CE6E80" w:rsidRPr="00202C3E" w:rsidRDefault="00CE6E80" w:rsidP="00FB26B2">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University affiliation</w:t>
      </w:r>
    </w:p>
    <w:p w14:paraId="1BFAC4D5" w14:textId="77777777" w:rsidR="00CE6E80" w:rsidRPr="00202C3E" w:rsidRDefault="00CE6E80" w:rsidP="00FB26B2">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Course name</w:t>
      </w:r>
    </w:p>
    <w:p w14:paraId="7E5DD0FA" w14:textId="77777777" w:rsidR="00CE6E80" w:rsidRPr="00202C3E" w:rsidRDefault="00CE6E80" w:rsidP="00FB26B2">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Professor’s name</w:t>
      </w:r>
    </w:p>
    <w:p w14:paraId="70271076" w14:textId="77777777" w:rsidR="00CE6E80" w:rsidRPr="00202C3E" w:rsidRDefault="00CE6E80" w:rsidP="00FB26B2">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Date</w:t>
      </w:r>
    </w:p>
    <w:bookmarkEnd w:id="1"/>
    <w:p w14:paraId="5C7B45C1" w14:textId="25AF72A2" w:rsidR="00CE6E80" w:rsidRDefault="00CE6E80">
      <w:pPr>
        <w:rPr>
          <w:rFonts w:ascii="Times New Roman" w:eastAsia="Times New Roman" w:hAnsi="Times New Roman" w:cs="Times New Roman"/>
          <w:b/>
          <w:bCs/>
          <w:color w:val="0E101A"/>
          <w:sz w:val="24"/>
          <w:szCs w:val="24"/>
          <w:lang/>
        </w:rPr>
      </w:pPr>
    </w:p>
    <w:p w14:paraId="27465C11"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1F9892D1"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64BD04F5"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7A54A855"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29596F6A"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070541DD"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291D7598"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10888C3B"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65DF69FC"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447E98D8"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54A1AD52"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1361644C"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436B9B4C" w14:textId="77777777" w:rsidR="00FB26B2" w:rsidRDefault="00FB26B2" w:rsidP="006B0C23">
      <w:pPr>
        <w:spacing w:after="0" w:line="480" w:lineRule="auto"/>
        <w:rPr>
          <w:rFonts w:ascii="Times New Roman" w:eastAsia="Times New Roman" w:hAnsi="Times New Roman" w:cs="Times New Roman"/>
          <w:b/>
          <w:bCs/>
          <w:color w:val="0E101A"/>
          <w:sz w:val="24"/>
          <w:szCs w:val="24"/>
          <w:lang/>
        </w:rPr>
      </w:pPr>
    </w:p>
    <w:p w14:paraId="3D639674" w14:textId="64A3BBDD" w:rsidR="008E6740" w:rsidRPr="008E6740" w:rsidRDefault="008E6740" w:rsidP="006B0C23">
      <w:pPr>
        <w:spacing w:after="0" w:line="480" w:lineRule="auto"/>
        <w:rPr>
          <w:rFonts w:ascii="Times New Roman" w:eastAsia="Times New Roman" w:hAnsi="Times New Roman" w:cs="Times New Roman"/>
          <w:b/>
          <w:bCs/>
          <w:color w:val="0E101A"/>
          <w:sz w:val="24"/>
          <w:szCs w:val="24"/>
          <w:lang/>
        </w:rPr>
      </w:pPr>
      <w:r w:rsidRPr="008E6740">
        <w:rPr>
          <w:rFonts w:ascii="Times New Roman" w:eastAsia="Times New Roman" w:hAnsi="Times New Roman" w:cs="Times New Roman"/>
          <w:b/>
          <w:bCs/>
          <w:color w:val="0E101A"/>
          <w:sz w:val="24"/>
          <w:szCs w:val="24"/>
          <w:lang/>
        </w:rPr>
        <w:lastRenderedPageBreak/>
        <w:t>Identify three financial ratios and describe them</w:t>
      </w:r>
    </w:p>
    <w:p w14:paraId="308FBF13" w14:textId="77777777" w:rsidR="008E6740" w:rsidRPr="008E6740" w:rsidRDefault="008E6740" w:rsidP="00FB26B2">
      <w:pPr>
        <w:numPr>
          <w:ilvl w:val="0"/>
          <w:numId w:val="2"/>
        </w:num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Liquidity ratios</w:t>
      </w:r>
    </w:p>
    <w:p w14:paraId="15A21B10" w14:textId="77777777" w:rsidR="008E6740" w:rsidRPr="008E6740" w:rsidRDefault="008E6740" w:rsidP="00FB26B2">
      <w:pPr>
        <w:numPr>
          <w:ilvl w:val="0"/>
          <w:numId w:val="2"/>
        </w:num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Efficiency ratios</w:t>
      </w:r>
    </w:p>
    <w:p w14:paraId="06F50284" w14:textId="77777777" w:rsidR="008E6740" w:rsidRPr="008E6740" w:rsidRDefault="008E6740" w:rsidP="00FB26B2">
      <w:pPr>
        <w:numPr>
          <w:ilvl w:val="0"/>
          <w:numId w:val="2"/>
        </w:num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Leverage ratios</w:t>
      </w:r>
    </w:p>
    <w:p w14:paraId="006E434B" w14:textId="77777777" w:rsidR="008E6740" w:rsidRPr="006B0C23" w:rsidRDefault="008E6740" w:rsidP="006B0C23">
      <w:pPr>
        <w:pStyle w:val="ListParagraph"/>
        <w:numPr>
          <w:ilvl w:val="0"/>
          <w:numId w:val="3"/>
        </w:numPr>
        <w:spacing w:after="0" w:line="480" w:lineRule="auto"/>
        <w:rPr>
          <w:rFonts w:ascii="Times New Roman" w:eastAsia="Times New Roman" w:hAnsi="Times New Roman" w:cs="Times New Roman"/>
          <w:color w:val="0E101A"/>
          <w:sz w:val="24"/>
          <w:szCs w:val="24"/>
          <w:lang/>
        </w:rPr>
      </w:pPr>
      <w:r w:rsidRPr="006B0C23">
        <w:rPr>
          <w:rFonts w:ascii="Times New Roman" w:eastAsia="Times New Roman" w:hAnsi="Times New Roman" w:cs="Times New Roman"/>
          <w:color w:val="0E101A"/>
          <w:sz w:val="24"/>
          <w:szCs w:val="24"/>
          <w:lang/>
        </w:rPr>
        <w:t>Liquidity ratios</w:t>
      </w:r>
    </w:p>
    <w:p w14:paraId="211856B6" w14:textId="77777777"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The liquidity ratio is an essential financial metric used to enable the debtor to know the ability to pay off debt obligations. The liquidity ratio will help determine if the company's current liquid or assets will cover its current liabilities. Liquidity ratios include quick ratio, current ratio, and cash ratio.</w:t>
      </w:r>
    </w:p>
    <w:p w14:paraId="3DC33C04" w14:textId="77777777" w:rsidR="008E6740" w:rsidRPr="006B0C23" w:rsidRDefault="008E6740" w:rsidP="006B0C23">
      <w:pPr>
        <w:pStyle w:val="ListParagraph"/>
        <w:numPr>
          <w:ilvl w:val="0"/>
          <w:numId w:val="3"/>
        </w:numPr>
        <w:spacing w:after="0" w:line="480" w:lineRule="auto"/>
        <w:rPr>
          <w:rFonts w:ascii="Times New Roman" w:eastAsia="Times New Roman" w:hAnsi="Times New Roman" w:cs="Times New Roman"/>
          <w:color w:val="0E101A"/>
          <w:sz w:val="24"/>
          <w:szCs w:val="24"/>
          <w:lang/>
        </w:rPr>
      </w:pPr>
      <w:r w:rsidRPr="006B0C23">
        <w:rPr>
          <w:rFonts w:ascii="Times New Roman" w:eastAsia="Times New Roman" w:hAnsi="Times New Roman" w:cs="Times New Roman"/>
          <w:color w:val="0E101A"/>
          <w:sz w:val="24"/>
          <w:szCs w:val="24"/>
          <w:lang/>
        </w:rPr>
        <w:t>Efficiency ratios</w:t>
      </w:r>
    </w:p>
    <w:p w14:paraId="05E237C4" w14:textId="77777777"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The efficiency ratio is used to determine how well the company utilizes its assets and resources to produce income. The ratio compares the expenses made to the revenue generated, which reflects profit a company can make</w:t>
      </w:r>
    </w:p>
    <w:p w14:paraId="52820EF4" w14:textId="77777777" w:rsidR="008E6740" w:rsidRPr="006B0C23" w:rsidRDefault="008E6740" w:rsidP="006B0C23">
      <w:pPr>
        <w:pStyle w:val="ListParagraph"/>
        <w:numPr>
          <w:ilvl w:val="0"/>
          <w:numId w:val="3"/>
        </w:numPr>
        <w:spacing w:after="0" w:line="480" w:lineRule="auto"/>
        <w:rPr>
          <w:rFonts w:ascii="Times New Roman" w:eastAsia="Times New Roman" w:hAnsi="Times New Roman" w:cs="Times New Roman"/>
          <w:color w:val="0E101A"/>
          <w:sz w:val="24"/>
          <w:szCs w:val="24"/>
          <w:lang/>
        </w:rPr>
      </w:pPr>
      <w:r w:rsidRPr="006B0C23">
        <w:rPr>
          <w:rFonts w:ascii="Times New Roman" w:eastAsia="Times New Roman" w:hAnsi="Times New Roman" w:cs="Times New Roman"/>
          <w:color w:val="0E101A"/>
          <w:sz w:val="24"/>
          <w:szCs w:val="24"/>
          <w:lang/>
        </w:rPr>
        <w:t>Leverage ratio</w:t>
      </w:r>
    </w:p>
    <w:p w14:paraId="62847BAF" w14:textId="2FE5775E" w:rsidR="008E6740" w:rsidRPr="006B0C23"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Leverage ratio is a financial metric that determines how much the company's capital comes in the form of debt</w:t>
      </w:r>
      <w:r w:rsidR="006B0C23" w:rsidRPr="006B0C23">
        <w:rPr>
          <w:rFonts w:ascii="Times New Roman" w:hAnsi="Times New Roman" w:cs="Times New Roman"/>
          <w:color w:val="000000"/>
          <w:sz w:val="24"/>
          <w:szCs w:val="24"/>
          <w:shd w:val="clear" w:color="auto" w:fill="FFFFFF"/>
        </w:rPr>
        <w:t xml:space="preserve"> (Corporate Finance Institute, 2018)</w:t>
      </w:r>
      <w:r w:rsidRPr="008E6740">
        <w:rPr>
          <w:rFonts w:ascii="Times New Roman" w:eastAsia="Times New Roman" w:hAnsi="Times New Roman" w:cs="Times New Roman"/>
          <w:color w:val="0E101A"/>
          <w:sz w:val="24"/>
          <w:szCs w:val="24"/>
          <w:lang/>
        </w:rPr>
        <w:t>.</w:t>
      </w:r>
    </w:p>
    <w:p w14:paraId="0FC1B490" w14:textId="7495987C" w:rsidR="000253C9" w:rsidRPr="008E6740" w:rsidRDefault="000253C9" w:rsidP="006B0C23">
      <w:pPr>
        <w:spacing w:after="0" w:line="480" w:lineRule="auto"/>
        <w:rPr>
          <w:rFonts w:ascii="Times New Roman" w:eastAsia="Times New Roman" w:hAnsi="Times New Roman" w:cs="Times New Roman"/>
          <w:b/>
          <w:bCs/>
          <w:color w:val="0E101A"/>
          <w:sz w:val="24"/>
          <w:szCs w:val="24"/>
          <w:lang w:val="en-GB"/>
        </w:rPr>
      </w:pPr>
      <w:r w:rsidRPr="006B0C23">
        <w:rPr>
          <w:rFonts w:ascii="Times New Roman" w:eastAsia="Times New Roman" w:hAnsi="Times New Roman" w:cs="Times New Roman"/>
          <w:b/>
          <w:bCs/>
          <w:color w:val="0E101A"/>
          <w:sz w:val="24"/>
          <w:szCs w:val="24"/>
          <w:lang w:val="en-GB"/>
        </w:rPr>
        <w:t>Research the financials of Home Depot and Lowe’s</w:t>
      </w:r>
    </w:p>
    <w:p w14:paraId="0F89C8A3" w14:textId="77777777"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Home Depot and Lowe's are the leading giants of home improvement retailing services. Both have the same market but different branding and supplying strategies. Home Depot's current market cap on April 2021 is $343.24B, and revenue of $132.110B makes it one of the biggest home improvement retailers. As of April 2021, Lowe's market cap is $142.383B and income of $89.597B.</w:t>
      </w:r>
    </w:p>
    <w:p w14:paraId="33E2C372" w14:textId="1BA137CC" w:rsidR="008E6740" w:rsidRPr="008E6740" w:rsidRDefault="000253C9" w:rsidP="006B0C23">
      <w:pPr>
        <w:spacing w:after="0" w:line="480" w:lineRule="auto"/>
        <w:rPr>
          <w:rFonts w:ascii="Times New Roman" w:eastAsia="Times New Roman" w:hAnsi="Times New Roman" w:cs="Times New Roman"/>
          <w:b/>
          <w:bCs/>
          <w:color w:val="0E101A"/>
          <w:sz w:val="24"/>
          <w:szCs w:val="24"/>
          <w:lang w:val="en-GB"/>
        </w:rPr>
      </w:pPr>
      <w:r w:rsidRPr="006B0C23">
        <w:rPr>
          <w:rFonts w:ascii="Times New Roman" w:eastAsia="Times New Roman" w:hAnsi="Times New Roman" w:cs="Times New Roman"/>
          <w:b/>
          <w:bCs/>
          <w:color w:val="0E101A"/>
          <w:sz w:val="24"/>
          <w:szCs w:val="24"/>
          <w:lang w:val="en-GB"/>
        </w:rPr>
        <w:lastRenderedPageBreak/>
        <w:t xml:space="preserve">Comparison of three </w:t>
      </w:r>
      <w:r w:rsidRPr="006B0C23">
        <w:rPr>
          <w:rFonts w:ascii="Times New Roman" w:eastAsia="Times New Roman" w:hAnsi="Times New Roman" w:cs="Times New Roman"/>
          <w:b/>
          <w:bCs/>
          <w:color w:val="0E101A"/>
          <w:sz w:val="24"/>
          <w:szCs w:val="24"/>
          <w:lang/>
        </w:rPr>
        <w:t>financial</w:t>
      </w:r>
      <w:r w:rsidR="008E6740" w:rsidRPr="008E6740">
        <w:rPr>
          <w:rFonts w:ascii="Times New Roman" w:eastAsia="Times New Roman" w:hAnsi="Times New Roman" w:cs="Times New Roman"/>
          <w:b/>
          <w:bCs/>
          <w:color w:val="0E101A"/>
          <w:sz w:val="24"/>
          <w:szCs w:val="24"/>
          <w:lang/>
        </w:rPr>
        <w:t xml:space="preserve"> ratios for Home Depot and Lowe's</w:t>
      </w:r>
      <w:r w:rsidRPr="006B0C23">
        <w:rPr>
          <w:rFonts w:ascii="Times New Roman" w:eastAsia="Times New Roman" w:hAnsi="Times New Roman" w:cs="Times New Roman"/>
          <w:b/>
          <w:bCs/>
          <w:color w:val="0E101A"/>
          <w:sz w:val="24"/>
          <w:szCs w:val="24"/>
          <w:lang w:val="en-GB"/>
        </w:rPr>
        <w:t xml:space="preserve"> and analysis of the two companies</w:t>
      </w:r>
    </w:p>
    <w:p w14:paraId="1D70C907" w14:textId="77777777"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Price to Earnings Ratios</w:t>
      </w:r>
    </w:p>
    <w:p w14:paraId="0ADCD881" w14:textId="4106C96B" w:rsidR="008E6740" w:rsidRPr="008E6740" w:rsidRDefault="008E6740" w:rsidP="006B0C23">
      <w:pPr>
        <w:spacing w:after="0" w:line="480" w:lineRule="auto"/>
        <w:rPr>
          <w:rFonts w:ascii="Times New Roman" w:eastAsia="Times New Roman" w:hAnsi="Times New Roman" w:cs="Times New Roman"/>
          <w:color w:val="0E101A"/>
          <w:sz w:val="24"/>
          <w:szCs w:val="24"/>
          <w:lang w:val="en-GB"/>
        </w:rPr>
      </w:pPr>
      <w:r w:rsidRPr="008E6740">
        <w:rPr>
          <w:rFonts w:ascii="Times New Roman" w:eastAsia="Times New Roman" w:hAnsi="Times New Roman" w:cs="Times New Roman"/>
          <w:color w:val="0E101A"/>
          <w:sz w:val="24"/>
          <w:szCs w:val="24"/>
          <w:lang/>
        </w:rPr>
        <w:t>As of April 2021, the Price to Earnings Ratios of the Home Depot is 22.4 while the Lowes Profit to earnings ratio is 21.58</w:t>
      </w:r>
      <w:r w:rsidR="006B0C23" w:rsidRPr="006B0C23">
        <w:rPr>
          <w:rFonts w:ascii="Times New Roman" w:hAnsi="Times New Roman" w:cs="Times New Roman"/>
          <w:color w:val="000000"/>
          <w:sz w:val="24"/>
          <w:szCs w:val="24"/>
          <w:shd w:val="clear" w:color="auto" w:fill="FFFFFF"/>
        </w:rPr>
        <w:t xml:space="preserve"> (Macrotrends, 2021)</w:t>
      </w:r>
      <w:r w:rsidR="006B0C23" w:rsidRPr="006B0C23">
        <w:rPr>
          <w:rFonts w:ascii="Times New Roman" w:hAnsi="Times New Roman" w:cs="Times New Roman"/>
          <w:color w:val="000000"/>
          <w:sz w:val="24"/>
          <w:szCs w:val="24"/>
          <w:shd w:val="clear" w:color="auto" w:fill="FFFFFF"/>
          <w:lang w:val="en-GB"/>
        </w:rPr>
        <w:t>.</w:t>
      </w:r>
    </w:p>
    <w:p w14:paraId="556A80DD" w14:textId="77777777"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Quick Ratio</w:t>
      </w:r>
    </w:p>
    <w:p w14:paraId="71DE7A5F" w14:textId="0BB88659" w:rsidR="008E6740" w:rsidRPr="008E6740" w:rsidRDefault="008E6740" w:rsidP="006B0C23">
      <w:pPr>
        <w:spacing w:after="0" w:line="480" w:lineRule="auto"/>
        <w:rPr>
          <w:rFonts w:ascii="Times New Roman" w:eastAsia="Times New Roman" w:hAnsi="Times New Roman" w:cs="Times New Roman"/>
          <w:color w:val="0E101A"/>
          <w:sz w:val="24"/>
          <w:szCs w:val="24"/>
          <w:lang w:val="en-GB"/>
        </w:rPr>
      </w:pPr>
      <w:r w:rsidRPr="008E6740">
        <w:rPr>
          <w:rFonts w:ascii="Times New Roman" w:eastAsia="Times New Roman" w:hAnsi="Times New Roman" w:cs="Times New Roman"/>
          <w:color w:val="0E101A"/>
          <w:sz w:val="24"/>
          <w:szCs w:val="24"/>
          <w:lang/>
        </w:rPr>
        <w:t>Home depot quick ratio as of April 2021 is 0.72, while the Lowes quick ratio is 0.57</w:t>
      </w:r>
      <w:r w:rsidR="006B0C23" w:rsidRPr="006B0C23">
        <w:rPr>
          <w:rFonts w:ascii="Times New Roman" w:hAnsi="Times New Roman" w:cs="Times New Roman"/>
          <w:color w:val="000000"/>
          <w:sz w:val="24"/>
          <w:szCs w:val="24"/>
          <w:shd w:val="clear" w:color="auto" w:fill="FFFFFF"/>
        </w:rPr>
        <w:t xml:space="preserve"> (Macrotrends, 2021)</w:t>
      </w:r>
      <w:r w:rsidR="006B0C23" w:rsidRPr="006B0C23">
        <w:rPr>
          <w:rFonts w:ascii="Times New Roman" w:hAnsi="Times New Roman" w:cs="Times New Roman"/>
          <w:color w:val="000000"/>
          <w:sz w:val="24"/>
          <w:szCs w:val="24"/>
          <w:shd w:val="clear" w:color="auto" w:fill="FFFFFF"/>
          <w:lang w:val="en-GB"/>
        </w:rPr>
        <w:t>.</w:t>
      </w:r>
    </w:p>
    <w:p w14:paraId="7F09716A" w14:textId="7F50362B" w:rsidR="008E6740" w:rsidRPr="008E6740"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Debt/Equity Ratio</w:t>
      </w:r>
      <w:r w:rsidR="006B0C23" w:rsidRPr="006B0C23">
        <w:rPr>
          <w:rFonts w:ascii="Times New Roman" w:hAnsi="Times New Roman" w:cs="Times New Roman"/>
          <w:color w:val="000000"/>
          <w:sz w:val="24"/>
          <w:szCs w:val="24"/>
          <w:shd w:val="clear" w:color="auto" w:fill="FFFFFF"/>
        </w:rPr>
        <w:t xml:space="preserve"> </w:t>
      </w:r>
    </w:p>
    <w:p w14:paraId="2850E6B8" w14:textId="28124A78" w:rsidR="008E6740" w:rsidRPr="008E6740" w:rsidRDefault="008E6740" w:rsidP="006B0C23">
      <w:pPr>
        <w:spacing w:after="0" w:line="480" w:lineRule="auto"/>
        <w:rPr>
          <w:rFonts w:ascii="Times New Roman" w:eastAsia="Times New Roman" w:hAnsi="Times New Roman" w:cs="Times New Roman"/>
          <w:color w:val="0E101A"/>
          <w:sz w:val="24"/>
          <w:szCs w:val="24"/>
          <w:lang w:val="en-GB"/>
        </w:rPr>
      </w:pPr>
      <w:r w:rsidRPr="008E6740">
        <w:rPr>
          <w:rFonts w:ascii="Times New Roman" w:eastAsia="Times New Roman" w:hAnsi="Times New Roman" w:cs="Times New Roman"/>
          <w:color w:val="0E101A"/>
          <w:sz w:val="24"/>
          <w:szCs w:val="24"/>
          <w:lang/>
        </w:rPr>
        <w:t>As of April 2021, Home depot debt ratio is at 42.6, while the Lowes debt ratio is at 11.49</w:t>
      </w:r>
      <w:r w:rsidR="006B0C23" w:rsidRPr="006B0C23">
        <w:rPr>
          <w:rFonts w:ascii="Times New Roman" w:hAnsi="Times New Roman" w:cs="Times New Roman"/>
          <w:color w:val="000000"/>
          <w:sz w:val="24"/>
          <w:szCs w:val="24"/>
          <w:shd w:val="clear" w:color="auto" w:fill="FFFFFF"/>
        </w:rPr>
        <w:t xml:space="preserve"> (Macrotrends, 2021)</w:t>
      </w:r>
      <w:r w:rsidR="006B0C23" w:rsidRPr="006B0C23">
        <w:rPr>
          <w:rFonts w:ascii="Times New Roman" w:hAnsi="Times New Roman" w:cs="Times New Roman"/>
          <w:color w:val="000000"/>
          <w:sz w:val="24"/>
          <w:szCs w:val="24"/>
          <w:shd w:val="clear" w:color="auto" w:fill="FFFFFF"/>
          <w:lang w:val="en-GB"/>
        </w:rPr>
        <w:t>.</w:t>
      </w:r>
    </w:p>
    <w:p w14:paraId="25A63521" w14:textId="5530009B" w:rsidR="000253C9" w:rsidRPr="006B0C23" w:rsidRDefault="008E6740" w:rsidP="006B0C23">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 xml:space="preserve">Investors are willing to pay more in Home depot's share because of its growth expectations than the Lowes company, according to the price-to-earnings ratios. Home has more liquid assets that it has to cover than the Lowes though both firms have difficulty in making financial obligations because the quick ratio is less than 1. Finally, the home depot debt ratio is high, showing that </w:t>
      </w:r>
      <w:r w:rsidR="000253C9" w:rsidRPr="006B0C23">
        <w:rPr>
          <w:rFonts w:ascii="Times New Roman" w:eastAsia="Times New Roman" w:hAnsi="Times New Roman" w:cs="Times New Roman"/>
          <w:color w:val="0E101A"/>
          <w:sz w:val="24"/>
          <w:szCs w:val="24"/>
          <w:lang w:val="en-GB"/>
        </w:rPr>
        <w:t>t</w:t>
      </w:r>
      <w:r w:rsidRPr="008E6740">
        <w:rPr>
          <w:rFonts w:ascii="Times New Roman" w:eastAsia="Times New Roman" w:hAnsi="Times New Roman" w:cs="Times New Roman"/>
          <w:color w:val="0E101A"/>
          <w:sz w:val="24"/>
          <w:szCs w:val="24"/>
          <w:lang/>
        </w:rPr>
        <w:t>otal debts are increased than the total assets.</w:t>
      </w:r>
    </w:p>
    <w:p w14:paraId="2D941B58" w14:textId="25E9BB10"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12BA2237" w14:textId="09BF63D0"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0E64CF26" w14:textId="4C6B9B34"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572DEEC9" w14:textId="182E6725"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4737ACEA" w14:textId="3DF168DF"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71510102" w14:textId="4BA0AD4D"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6E253B50" w14:textId="25614BD3" w:rsidR="000253C9" w:rsidRPr="006B0C23" w:rsidRDefault="000253C9" w:rsidP="006B0C23">
      <w:pPr>
        <w:spacing w:after="0" w:line="480" w:lineRule="auto"/>
        <w:rPr>
          <w:rFonts w:ascii="Times New Roman" w:eastAsia="Times New Roman" w:hAnsi="Times New Roman" w:cs="Times New Roman"/>
          <w:color w:val="0E101A"/>
          <w:sz w:val="24"/>
          <w:szCs w:val="24"/>
          <w:lang/>
        </w:rPr>
      </w:pPr>
    </w:p>
    <w:p w14:paraId="64819848" w14:textId="2923658B" w:rsidR="008E6740" w:rsidRPr="006B0C23" w:rsidRDefault="008E6740" w:rsidP="001F7218">
      <w:pPr>
        <w:spacing w:after="0" w:line="480" w:lineRule="auto"/>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b/>
          <w:bCs/>
          <w:color w:val="0E101A"/>
          <w:sz w:val="24"/>
          <w:szCs w:val="24"/>
          <w:lang/>
        </w:rPr>
        <w:lastRenderedPageBreak/>
        <w:t> </w:t>
      </w:r>
    </w:p>
    <w:p w14:paraId="28CA396F" w14:textId="77777777" w:rsidR="00CE6E80" w:rsidRDefault="00CE6E80" w:rsidP="006B0C23">
      <w:pPr>
        <w:spacing w:after="0" w:line="480" w:lineRule="auto"/>
        <w:jc w:val="center"/>
        <w:rPr>
          <w:rFonts w:ascii="Times New Roman" w:hAnsi="Times New Roman" w:cs="Times New Roman"/>
          <w:color w:val="000000"/>
          <w:sz w:val="24"/>
          <w:szCs w:val="24"/>
          <w:shd w:val="clear" w:color="auto" w:fill="FFFFFF"/>
          <w:lang w:val="en-GB"/>
        </w:rPr>
      </w:pPr>
    </w:p>
    <w:p w14:paraId="2B9791C3" w14:textId="77777777" w:rsidR="00CE6E80" w:rsidRDefault="00CE6E80" w:rsidP="006B0C23">
      <w:pPr>
        <w:spacing w:after="0" w:line="480" w:lineRule="auto"/>
        <w:jc w:val="center"/>
        <w:rPr>
          <w:rFonts w:ascii="Times New Roman" w:hAnsi="Times New Roman" w:cs="Times New Roman"/>
          <w:color w:val="000000"/>
          <w:sz w:val="24"/>
          <w:szCs w:val="24"/>
          <w:shd w:val="clear" w:color="auto" w:fill="FFFFFF"/>
          <w:lang w:val="en-GB"/>
        </w:rPr>
      </w:pPr>
    </w:p>
    <w:p w14:paraId="27986446" w14:textId="710A1A15" w:rsidR="006B0C23" w:rsidRPr="00CE6E80" w:rsidRDefault="006B0C23" w:rsidP="006B0C23">
      <w:pPr>
        <w:spacing w:after="0" w:line="480" w:lineRule="auto"/>
        <w:jc w:val="center"/>
        <w:rPr>
          <w:rFonts w:ascii="Times New Roman" w:hAnsi="Times New Roman" w:cs="Times New Roman"/>
          <w:b/>
          <w:bCs/>
          <w:color w:val="000000"/>
          <w:sz w:val="24"/>
          <w:szCs w:val="24"/>
          <w:shd w:val="clear" w:color="auto" w:fill="FFFFFF"/>
          <w:lang w:val="en-GB"/>
        </w:rPr>
      </w:pPr>
      <w:r w:rsidRPr="00CE6E80">
        <w:rPr>
          <w:rFonts w:ascii="Times New Roman" w:hAnsi="Times New Roman" w:cs="Times New Roman"/>
          <w:b/>
          <w:bCs/>
          <w:color w:val="000000"/>
          <w:sz w:val="24"/>
          <w:szCs w:val="24"/>
          <w:shd w:val="clear" w:color="auto" w:fill="FFFFFF"/>
          <w:lang w:val="en-GB"/>
        </w:rPr>
        <w:t>References</w:t>
      </w:r>
    </w:p>
    <w:p w14:paraId="3E13D942" w14:textId="65DB42A3" w:rsidR="006B0C23" w:rsidRPr="006B0C23" w:rsidRDefault="006B0C23" w:rsidP="006B0C23">
      <w:pPr>
        <w:spacing w:after="0" w:line="480" w:lineRule="auto"/>
        <w:ind w:left="720" w:hanging="720"/>
        <w:rPr>
          <w:rFonts w:ascii="Times New Roman" w:hAnsi="Times New Roman" w:cs="Times New Roman"/>
          <w:color w:val="000000"/>
          <w:sz w:val="24"/>
          <w:szCs w:val="24"/>
          <w:shd w:val="clear" w:color="auto" w:fill="FFFFFF"/>
        </w:rPr>
      </w:pPr>
      <w:r w:rsidRPr="006B0C23">
        <w:rPr>
          <w:rFonts w:ascii="Times New Roman" w:hAnsi="Times New Roman" w:cs="Times New Roman"/>
          <w:color w:val="000000"/>
          <w:sz w:val="24"/>
          <w:szCs w:val="24"/>
          <w:shd w:val="clear" w:color="auto" w:fill="FFFFFF"/>
        </w:rPr>
        <w:t>Corporate Finance Institute. (2018). </w:t>
      </w:r>
      <w:r w:rsidRPr="006B0C23">
        <w:rPr>
          <w:rFonts w:ascii="Times New Roman" w:hAnsi="Times New Roman" w:cs="Times New Roman"/>
          <w:i/>
          <w:iCs/>
          <w:color w:val="000000"/>
          <w:sz w:val="24"/>
          <w:szCs w:val="24"/>
          <w:shd w:val="clear" w:color="auto" w:fill="FFFFFF"/>
        </w:rPr>
        <w:t>Financial Ratios - Complete List and Guide to All Financial Ratios</w:t>
      </w:r>
      <w:r w:rsidRPr="006B0C23">
        <w:rPr>
          <w:rFonts w:ascii="Times New Roman" w:hAnsi="Times New Roman" w:cs="Times New Roman"/>
          <w:color w:val="000000"/>
          <w:sz w:val="24"/>
          <w:szCs w:val="24"/>
          <w:shd w:val="clear" w:color="auto" w:fill="FFFFFF"/>
        </w:rPr>
        <w:t xml:space="preserve">. Corporate Finance Institute. Retrieved 13 April 2021, from </w:t>
      </w:r>
      <w:hyperlink r:id="rId5" w:history="1">
        <w:r w:rsidRPr="006B0C23">
          <w:rPr>
            <w:rStyle w:val="Hyperlink"/>
            <w:rFonts w:ascii="Times New Roman" w:hAnsi="Times New Roman" w:cs="Times New Roman"/>
            <w:sz w:val="24"/>
            <w:szCs w:val="24"/>
            <w:shd w:val="clear" w:color="auto" w:fill="FFFFFF"/>
          </w:rPr>
          <w:t>https://corporatefinanceinstitute.com/resources/knowledge/finance/financial-ratios/</w:t>
        </w:r>
      </w:hyperlink>
      <w:r w:rsidRPr="006B0C23">
        <w:rPr>
          <w:rFonts w:ascii="Times New Roman" w:hAnsi="Times New Roman" w:cs="Times New Roman"/>
          <w:color w:val="000000"/>
          <w:sz w:val="24"/>
          <w:szCs w:val="24"/>
          <w:shd w:val="clear" w:color="auto" w:fill="FFFFFF"/>
        </w:rPr>
        <w:t>.</w:t>
      </w:r>
    </w:p>
    <w:p w14:paraId="42E2E5B5" w14:textId="278C75EC" w:rsidR="006B0C23" w:rsidRPr="008E6740" w:rsidRDefault="006B0C23" w:rsidP="006B0C23">
      <w:pPr>
        <w:spacing w:after="0" w:line="480" w:lineRule="auto"/>
        <w:ind w:left="720" w:hanging="720"/>
        <w:rPr>
          <w:rFonts w:ascii="Times New Roman" w:eastAsia="Times New Roman" w:hAnsi="Times New Roman" w:cs="Times New Roman"/>
          <w:color w:val="0E101A"/>
          <w:sz w:val="24"/>
          <w:szCs w:val="24"/>
          <w:lang/>
        </w:rPr>
      </w:pPr>
      <w:r w:rsidRPr="006B0C23">
        <w:rPr>
          <w:rFonts w:ascii="Times New Roman" w:hAnsi="Times New Roman" w:cs="Times New Roman"/>
          <w:color w:val="000000"/>
          <w:sz w:val="24"/>
          <w:szCs w:val="24"/>
          <w:shd w:val="clear" w:color="auto" w:fill="FFFFFF"/>
        </w:rPr>
        <w:t>Macrotrends. (2021). </w:t>
      </w:r>
      <w:r w:rsidRPr="006B0C23">
        <w:rPr>
          <w:rFonts w:ascii="Times New Roman" w:hAnsi="Times New Roman" w:cs="Times New Roman"/>
          <w:i/>
          <w:iCs/>
          <w:color w:val="000000"/>
          <w:sz w:val="24"/>
          <w:szCs w:val="24"/>
          <w:shd w:val="clear" w:color="auto" w:fill="FFFFFF"/>
        </w:rPr>
        <w:t>Macrotrends</w:t>
      </w:r>
      <w:r w:rsidRPr="006B0C23">
        <w:rPr>
          <w:rFonts w:ascii="Times New Roman" w:hAnsi="Times New Roman" w:cs="Times New Roman"/>
          <w:color w:val="000000"/>
          <w:sz w:val="24"/>
          <w:szCs w:val="24"/>
          <w:shd w:val="clear" w:color="auto" w:fill="FFFFFF"/>
        </w:rPr>
        <w:t>. Macrotrends.net. Retrieved 13 April 2021, from https://www.macrotrends.net/stocks/stock-comparison?s.</w:t>
      </w:r>
    </w:p>
    <w:p w14:paraId="27D443A5" w14:textId="747EBE9E" w:rsidR="00A1338B" w:rsidRPr="008E6740" w:rsidRDefault="00A1338B" w:rsidP="006B0C23">
      <w:pPr>
        <w:spacing w:line="480" w:lineRule="auto"/>
        <w:rPr>
          <w:rFonts w:ascii="Times New Roman" w:hAnsi="Times New Roman" w:cs="Times New Roman"/>
          <w:sz w:val="24"/>
          <w:szCs w:val="24"/>
        </w:rPr>
      </w:pPr>
    </w:p>
    <w:sectPr w:rsidR="00A1338B" w:rsidRPr="008E67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2A5"/>
    <w:multiLevelType w:val="hybridMultilevel"/>
    <w:tmpl w:val="A90CB64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9C7020A"/>
    <w:multiLevelType w:val="hybridMultilevel"/>
    <w:tmpl w:val="F2FA1D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C175095"/>
    <w:multiLevelType w:val="multilevel"/>
    <w:tmpl w:val="7374C5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3D"/>
    <w:rsid w:val="000253C9"/>
    <w:rsid w:val="000A42DD"/>
    <w:rsid w:val="000E2D58"/>
    <w:rsid w:val="001C4C32"/>
    <w:rsid w:val="001F7218"/>
    <w:rsid w:val="00303661"/>
    <w:rsid w:val="005E0390"/>
    <w:rsid w:val="006B0C23"/>
    <w:rsid w:val="00712250"/>
    <w:rsid w:val="007572F2"/>
    <w:rsid w:val="008E6740"/>
    <w:rsid w:val="00924A55"/>
    <w:rsid w:val="00A0093D"/>
    <w:rsid w:val="00A1338B"/>
    <w:rsid w:val="00A565C8"/>
    <w:rsid w:val="00B055E3"/>
    <w:rsid w:val="00B82801"/>
    <w:rsid w:val="00BB7086"/>
    <w:rsid w:val="00CE6E80"/>
    <w:rsid w:val="00FB26B2"/>
    <w:rsid w:val="00FE3C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0B45"/>
  <w15:chartTrackingRefBased/>
  <w15:docId w15:val="{1CEE0A34-3670-427C-83DF-10048B9F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3D"/>
    <w:pPr>
      <w:ind w:left="720"/>
      <w:contextualSpacing/>
    </w:pPr>
  </w:style>
  <w:style w:type="paragraph" w:styleId="NormalWeb">
    <w:name w:val="Normal (Web)"/>
    <w:basedOn w:val="Normal"/>
    <w:uiPriority w:val="99"/>
    <w:semiHidden/>
    <w:unhideWhenUsed/>
    <w:rsid w:val="008E6740"/>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6B0C23"/>
    <w:rPr>
      <w:color w:val="0563C1" w:themeColor="hyperlink"/>
      <w:u w:val="single"/>
    </w:rPr>
  </w:style>
  <w:style w:type="character" w:customStyle="1" w:styleId="UnresolvedMention">
    <w:name w:val="Unresolved Mention"/>
    <w:basedOn w:val="DefaultParagraphFont"/>
    <w:uiPriority w:val="99"/>
    <w:semiHidden/>
    <w:unhideWhenUsed/>
    <w:rsid w:val="006B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9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rporatefinanceinstitute.com/resources/knowledge/finance/financial-rati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Windows User</cp:lastModifiedBy>
  <cp:revision>2</cp:revision>
  <dcterms:created xsi:type="dcterms:W3CDTF">2021-04-13T19:33:00Z</dcterms:created>
  <dcterms:modified xsi:type="dcterms:W3CDTF">2021-04-13T19:33:00Z</dcterms:modified>
</cp:coreProperties>
</file>