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A13BD" w14:textId="77777777" w:rsidR="00374F86" w:rsidRDefault="00374F86" w:rsidP="00374F86">
      <w:pPr>
        <w:pStyle w:val="NormalWeb"/>
        <w:shd w:val="clear" w:color="auto" w:fill="FFFFFF"/>
        <w:spacing w:before="180" w:beforeAutospacing="0" w:after="180" w:afterAutospacing="0"/>
        <w:rPr>
          <w:rFonts w:ascii="Helvetica" w:hAnsi="Helvetica" w:cs="Helvetica"/>
          <w:color w:val="3D494C"/>
          <w:sz w:val="23"/>
          <w:szCs w:val="23"/>
        </w:rPr>
      </w:pPr>
      <w:proofErr w:type="spellStart"/>
      <w:r>
        <w:rPr>
          <w:rFonts w:ascii="Helvetica" w:hAnsi="Helvetica" w:cs="Helvetica"/>
          <w:color w:val="3D494C"/>
          <w:sz w:val="23"/>
          <w:szCs w:val="23"/>
        </w:rPr>
        <w:t>Lanina</w:t>
      </w:r>
      <w:proofErr w:type="spellEnd"/>
      <w:r>
        <w:rPr>
          <w:rFonts w:ascii="Helvetica" w:hAnsi="Helvetica" w:cs="Helvetica"/>
          <w:color w:val="3D494C"/>
          <w:sz w:val="23"/>
          <w:szCs w:val="23"/>
        </w:rPr>
        <w:t>,</w:t>
      </w:r>
    </w:p>
    <w:p w14:paraId="4733F321" w14:textId="77777777" w:rsidR="00374F86" w:rsidRDefault="00374F86" w:rsidP="00374F86">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I enjoyed reading your posting. I would like to offer some insight into reliability and accuracy. A survey can be reliable and not accurate. Reliability refers to the ability of the test to have repeatable results and those results do not necessarily have to be correct.</w:t>
      </w:r>
    </w:p>
    <w:p w14:paraId="2F031F0B" w14:textId="77777777" w:rsidR="00374F86" w:rsidRDefault="00374F86" w:rsidP="00374F86">
      <w:pPr>
        <w:pStyle w:val="NormalWeb"/>
        <w:shd w:val="clear" w:color="auto" w:fill="FFFFFF"/>
        <w:spacing w:before="180" w:beforeAutospacing="0" w:after="0" w:afterAutospacing="0"/>
        <w:rPr>
          <w:rFonts w:ascii="Helvetica" w:hAnsi="Helvetica" w:cs="Helvetica"/>
          <w:color w:val="3D494C"/>
          <w:sz w:val="23"/>
          <w:szCs w:val="23"/>
        </w:rPr>
      </w:pPr>
      <w:r>
        <w:rPr>
          <w:rFonts w:ascii="Helvetica" w:hAnsi="Helvetica" w:cs="Helvetica"/>
          <w:color w:val="3D494C"/>
          <w:sz w:val="23"/>
          <w:szCs w:val="23"/>
        </w:rPr>
        <w:t>Dr. W</w:t>
      </w:r>
    </w:p>
    <w:p w14:paraId="62A19DAF" w14:textId="25CAAB9C" w:rsidR="00822469" w:rsidRDefault="00822469"/>
    <w:p w14:paraId="6B264581" w14:textId="1E520417" w:rsidR="00374F86" w:rsidRDefault="00374F86">
      <w:r>
        <w:t>Erica Sampson</w:t>
      </w:r>
    </w:p>
    <w:p w14:paraId="2F5870B5" w14:textId="77777777" w:rsidR="00374F86" w:rsidRDefault="00374F86" w:rsidP="00374F86">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When addressing if a test is reliable, you are acknowledging the accuracy behind the measurement procedure. When you proceed with doing your research, you are operating with the intent to have valid and reliable tools for measurement. When questioning how reliable a source is, the answer isn't located within the test measure but in the accuracy of what it is measuring (Thorndike et al., 2009). Also, when measuring reliability, the observed score is the connection between true score and error of measurement. By including the true score and any room for error of measurement, you can still rely on the data. </w:t>
      </w:r>
    </w:p>
    <w:p w14:paraId="6EE8AE76" w14:textId="77777777" w:rsidR="00374F86" w:rsidRDefault="00374F86" w:rsidP="00374F86">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6F79D57B" w14:textId="77777777" w:rsidR="00374F86" w:rsidRDefault="00374F86" w:rsidP="00374F86">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This week I have been trying to teach my son how to tie his shoes. Initially, I gave him verbal directions about it, and I expected him not to get it right the first couple of times. I decided the next day to continue practicing, but we switched it up from verbal directions to a song, which worked better for him. Us practicing, in general, knowing the end result was an example of including the error of measurement. My son would be an example of the reliability coefficient because I was measuring the process of him tying his shoes. </w:t>
      </w:r>
    </w:p>
    <w:p w14:paraId="2FFFD030" w14:textId="77777777" w:rsidR="00374F86" w:rsidRDefault="00374F86" w:rsidP="00374F86">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br/>
        <w:t>When estimating the reliability, we factor in the true score and any observed scores or error of measurements. This helps the researcher establish a better idea of the reliability. Also, when we consider an individual's behavior or IQ score, we usually label them "gifted" if it's high. An individual's giftedness does not solely rely on their IQ (Worrell et al., 2004). Each individual approaches a problem differently and how they find a resolution. We must consider their behavior repeatedly to get an idea of what changes if any. It will help us establish the true score and how much confidence to place on the score. </w:t>
      </w:r>
    </w:p>
    <w:p w14:paraId="03E288B3" w14:textId="77777777" w:rsidR="00374F86" w:rsidRDefault="00374F86" w:rsidP="00374F86">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24A2E48A" w14:textId="77777777" w:rsidR="00374F86" w:rsidRDefault="00374F86" w:rsidP="00374F86">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Resources</w:t>
      </w:r>
    </w:p>
    <w:p w14:paraId="18264DBD" w14:textId="77777777" w:rsidR="00374F86" w:rsidRDefault="00374F86" w:rsidP="00374F86">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2CCA2F10" w14:textId="081F0661" w:rsidR="00374F86" w:rsidRDefault="00374F86" w:rsidP="00374F86">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Thorndike, R. M. &amp; Thorndike-Christ, T. M. (2009). </w:t>
      </w:r>
      <w:hyperlink r:id="rId4" w:tgtFrame="_blank" w:tooltip="Measurement and evaluation in psychology and education" w:history="1">
        <w:r>
          <w:rPr>
            <w:rStyle w:val="Hyperlink"/>
            <w:rFonts w:ascii="Helvetica" w:hAnsi="Helvetica" w:cs="Helvetica"/>
            <w:i/>
            <w:iCs/>
          </w:rPr>
          <w:t>Measurement and evaluation in psychology and education</w:t>
        </w:r>
      </w:hyperlink>
      <w:r>
        <w:rPr>
          <w:rFonts w:ascii="Helvetica" w:hAnsi="Helvetica" w:cs="Helvetica"/>
          <w:color w:val="3D494C"/>
        </w:rPr>
        <w:t> (8th ed.). Upper Saddle River, NJ: Prentice Hall.</w:t>
      </w:r>
    </w:p>
    <w:p w14:paraId="4E5F08F0" w14:textId="1A5C949D" w:rsidR="00374F86" w:rsidRDefault="00374F86" w:rsidP="00374F86">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 xml:space="preserve">Worrell, F. C., &amp; Schaefer, B. A. (2004). Reliability and Validity of Learning Behaviors Scale (LBS) Scores </w:t>
      </w:r>
      <w:proofErr w:type="gramStart"/>
      <w:r>
        <w:rPr>
          <w:rFonts w:ascii="Helvetica" w:hAnsi="Helvetica" w:cs="Helvetica"/>
          <w:color w:val="3D494C"/>
        </w:rPr>
        <w:t>With</w:t>
      </w:r>
      <w:proofErr w:type="gramEnd"/>
      <w:r>
        <w:rPr>
          <w:rFonts w:ascii="Helvetica" w:hAnsi="Helvetica" w:cs="Helvetica"/>
          <w:color w:val="3D494C"/>
        </w:rPr>
        <w:t xml:space="preserve"> Academically Talented Students: A Comparative Perspective: </w:t>
      </w:r>
      <w:r>
        <w:rPr>
          <w:rFonts w:ascii="Helvetica" w:hAnsi="Helvetica" w:cs="Helvetica"/>
          <w:color w:val="3D494C"/>
        </w:rPr>
        <w:lastRenderedPageBreak/>
        <w:t>[1].</w:t>
      </w:r>
      <w:r>
        <w:rPr>
          <w:rFonts w:ascii="Helvetica" w:hAnsi="Helvetica" w:cs="Helvetica"/>
          <w:i/>
          <w:iCs/>
          <w:color w:val="3D494C"/>
        </w:rPr>
        <w:t> The Gifted Child Quarterly, 48</w:t>
      </w:r>
      <w:r>
        <w:rPr>
          <w:rFonts w:ascii="Helvetica" w:hAnsi="Helvetica" w:cs="Helvetica"/>
          <w:color w:val="3D494C"/>
        </w:rPr>
        <w:t xml:space="preserve">(4), 287-308. </w:t>
      </w:r>
      <w:hyperlink r:id="rId5" w:history="1">
        <w:r w:rsidRPr="00036E9D">
          <w:rPr>
            <w:rStyle w:val="Hyperlink"/>
            <w:rFonts w:ascii="Helvetica" w:hAnsi="Helvetica" w:cs="Helvetica"/>
          </w:rPr>
          <w:t>https://www-proquest-com.proxy-library.ashford.edu/scholarly-journals/reliability-validity-learning-behaviors-scale-lbs/docview/212094611/se-2?accountid=32521</w:t>
        </w:r>
      </w:hyperlink>
    </w:p>
    <w:p w14:paraId="40238723" w14:textId="6CBDFAE9" w:rsidR="00374F86" w:rsidRDefault="00374F86" w:rsidP="00374F86">
      <w:pPr>
        <w:pStyle w:val="NormalWeb"/>
        <w:shd w:val="clear" w:color="auto" w:fill="FFFFFF"/>
        <w:spacing w:before="180" w:beforeAutospacing="0" w:after="0" w:afterAutospacing="0"/>
        <w:rPr>
          <w:rFonts w:ascii="Helvetica" w:hAnsi="Helvetica" w:cs="Helvetica"/>
          <w:color w:val="3D494C"/>
        </w:rPr>
      </w:pPr>
    </w:p>
    <w:p w14:paraId="4F4FBF78" w14:textId="1AB5D401" w:rsidR="00374F86" w:rsidRDefault="00374F86" w:rsidP="00374F86">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Gregory Perry</w:t>
      </w:r>
    </w:p>
    <w:p w14:paraId="4C92ECE6" w14:textId="3B9718C9" w:rsidR="00374F86" w:rsidRDefault="00374F86" w:rsidP="00374F86">
      <w:pPr>
        <w:pStyle w:val="NormalWeb"/>
        <w:shd w:val="clear" w:color="auto" w:fill="FFFFFF"/>
        <w:spacing w:before="180" w:beforeAutospacing="0" w:after="0" w:afterAutospacing="0"/>
        <w:rPr>
          <w:rFonts w:ascii="Helvetica" w:hAnsi="Helvetica" w:cs="Helvetica"/>
          <w:color w:val="3D494C"/>
        </w:rPr>
      </w:pPr>
    </w:p>
    <w:p w14:paraId="003CC096" w14:textId="77777777" w:rsidR="00374F86" w:rsidRDefault="00374F86" w:rsidP="00374F86">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w:t>
      </w:r>
      <w:proofErr w:type="spellStart"/>
      <w:r>
        <w:rPr>
          <w:rFonts w:ascii="Helvetica" w:hAnsi="Helvetica" w:cs="Helvetica"/>
          <w:color w:val="3D494C"/>
        </w:rPr>
        <w:t>Vakili</w:t>
      </w:r>
      <w:proofErr w:type="spellEnd"/>
      <w:r>
        <w:rPr>
          <w:rFonts w:ascii="Helvetica" w:hAnsi="Helvetica" w:cs="Helvetica"/>
          <w:color w:val="3D494C"/>
        </w:rPr>
        <w:t>, 2018) states that reliability and validity are two of the essential components of research and assessment tools. When discussing reliability related to a test such as an IQ test, we refer to the consistency and accuracy of the procedure measuring what we are measuring. The correct score versus the observed score is the margin of error (Thorndike, 2009). Reliability can be established through the use of two other processes. The first standard error of measurement is identifying the expected variation within the measured set. The other is through reliability coefficient, which is explained as when tests are conducted with the same participants, there is no change in their position. When the rank does not change or changes very little, the higher correlation.</w:t>
      </w:r>
    </w:p>
    <w:p w14:paraId="35B4F16A" w14:textId="77777777" w:rsidR="00374F86" w:rsidRDefault="00374F86" w:rsidP="00374F86">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In determining reliability, a few factors will affect the assessment; the first of these is the limited sample size, such as if we only conduct one test. One of the other areas that can create inconsistency is a change in one of the variables, such as the person changing between the test or a change in the task performed that impacts the measurement. In determining how to assess the reliability of a test using similar forms of the same test or using the same test but separating it into two parts and then measuring the correlation between the two halves. (Thorndike, 2009) sees four other factors that can affect the reliability from the perspective of the test:</w:t>
      </w:r>
    </w:p>
    <w:p w14:paraId="799E4ED1" w14:textId="77777777" w:rsidR="00374F86" w:rsidRDefault="00374F86" w:rsidP="00374F86">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Length of the test, processes used for measuring the reliability, the change of the group's position, and the group's level on the trait the test measures.</w:t>
      </w:r>
    </w:p>
    <w:p w14:paraId="494291F3" w14:textId="77777777" w:rsidR="00374F86" w:rsidRDefault="00374F86" w:rsidP="00374F86">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19E5F205" w14:textId="77777777" w:rsidR="00374F86" w:rsidRDefault="00374F86" w:rsidP="00374F86">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25825C05" w14:textId="77777777" w:rsidR="00374F86" w:rsidRDefault="00374F86" w:rsidP="00374F86">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References</w:t>
      </w:r>
    </w:p>
    <w:p w14:paraId="1510FA1F" w14:textId="77777777" w:rsidR="00374F86" w:rsidRDefault="00374F86" w:rsidP="00374F86">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 xml:space="preserve">Mohammad Masoud </w:t>
      </w:r>
      <w:proofErr w:type="spellStart"/>
      <w:r>
        <w:rPr>
          <w:rFonts w:ascii="Helvetica" w:hAnsi="Helvetica" w:cs="Helvetica"/>
          <w:color w:val="3D494C"/>
        </w:rPr>
        <w:t>Vakili</w:t>
      </w:r>
      <w:proofErr w:type="spellEnd"/>
      <w:r>
        <w:rPr>
          <w:rFonts w:ascii="Helvetica" w:hAnsi="Helvetica" w:cs="Helvetica"/>
          <w:color w:val="3D494C"/>
        </w:rPr>
        <w:t xml:space="preserve">, &amp; Nasrin </w:t>
      </w:r>
      <w:proofErr w:type="spellStart"/>
      <w:r>
        <w:rPr>
          <w:rFonts w:ascii="Helvetica" w:hAnsi="Helvetica" w:cs="Helvetica"/>
          <w:color w:val="3D494C"/>
        </w:rPr>
        <w:t>Jahangiri</w:t>
      </w:r>
      <w:proofErr w:type="spellEnd"/>
      <w:r>
        <w:rPr>
          <w:rFonts w:ascii="Helvetica" w:hAnsi="Helvetica" w:cs="Helvetica"/>
          <w:color w:val="3D494C"/>
        </w:rPr>
        <w:t>. (2018). Content Validity and Reliability of the Measurement Tools in Educational, Behavioral, and Health Sciences Research. </w:t>
      </w:r>
      <w:r>
        <w:rPr>
          <w:rStyle w:val="Emphasis"/>
          <w:rFonts w:ascii="Helvetica" w:hAnsi="Helvetica" w:cs="Helvetica"/>
          <w:color w:val="3D494C"/>
        </w:rPr>
        <w:t>Journal of Medical Education Development</w:t>
      </w:r>
      <w:r>
        <w:rPr>
          <w:rFonts w:ascii="Helvetica" w:hAnsi="Helvetica" w:cs="Helvetica"/>
          <w:color w:val="3D494C"/>
        </w:rPr>
        <w:t>, </w:t>
      </w:r>
      <w:r>
        <w:rPr>
          <w:rStyle w:val="Emphasis"/>
          <w:rFonts w:ascii="Helvetica" w:hAnsi="Helvetica" w:cs="Helvetica"/>
          <w:color w:val="3D494C"/>
        </w:rPr>
        <w:t>10</w:t>
      </w:r>
      <w:r>
        <w:rPr>
          <w:rFonts w:ascii="Helvetica" w:hAnsi="Helvetica" w:cs="Helvetica"/>
          <w:color w:val="3D494C"/>
        </w:rPr>
        <w:t>(28), 106–118.Thorndike, R. M. &amp; Thorndike-Christ, T. M. (2009). </w:t>
      </w:r>
      <w:hyperlink r:id="rId6" w:history="1">
        <w:r>
          <w:rPr>
            <w:rStyle w:val="Hyperlink"/>
            <w:rFonts w:ascii="Helvetica" w:hAnsi="Helvetica" w:cs="Helvetica"/>
            <w:i/>
            <w:iCs/>
          </w:rPr>
          <w:t>Measurement and evaluation in psychology and education</w:t>
        </w:r>
      </w:hyperlink>
      <w:r>
        <w:rPr>
          <w:rFonts w:ascii="Helvetica" w:hAnsi="Helvetica" w:cs="Helvetica"/>
          <w:color w:val="3D494C"/>
        </w:rPr>
        <w:t> (8th ed.). Upper Saddle River, NJ: Prentice-Hall.</w:t>
      </w:r>
    </w:p>
    <w:p w14:paraId="2E9E99B5" w14:textId="77777777" w:rsidR="00374F86" w:rsidRDefault="00374F86" w:rsidP="00374F86">
      <w:pPr>
        <w:pStyle w:val="NormalWeb"/>
        <w:shd w:val="clear" w:color="auto" w:fill="FFFFFF"/>
        <w:spacing w:before="180" w:beforeAutospacing="0" w:after="0" w:afterAutospacing="0"/>
        <w:rPr>
          <w:rFonts w:ascii="Helvetica" w:hAnsi="Helvetica" w:cs="Helvetica"/>
          <w:color w:val="3D494C"/>
        </w:rPr>
      </w:pPr>
    </w:p>
    <w:p w14:paraId="4B739BC7" w14:textId="2EE6BBE0" w:rsidR="00374F86" w:rsidRDefault="00374F86"/>
    <w:p w14:paraId="64C24E4C" w14:textId="0D42B638" w:rsidR="00374F86" w:rsidRDefault="00374F86"/>
    <w:p w14:paraId="53553871" w14:textId="77777777" w:rsidR="00374F86" w:rsidRDefault="00374F86"/>
    <w:sectPr w:rsidR="00374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86"/>
    <w:rsid w:val="00374F86"/>
    <w:rsid w:val="00822469"/>
    <w:rsid w:val="00D63AC1"/>
    <w:rsid w:val="00D8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C22D"/>
  <w15:chartTrackingRefBased/>
  <w15:docId w15:val="{9F55A3DA-0563-40BD-8373-B7E9FD87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4F8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4F86"/>
    <w:rPr>
      <w:i/>
      <w:iCs/>
    </w:rPr>
  </w:style>
  <w:style w:type="character" w:styleId="Hyperlink">
    <w:name w:val="Hyperlink"/>
    <w:basedOn w:val="DefaultParagraphFont"/>
    <w:uiPriority w:val="99"/>
    <w:unhideWhenUsed/>
    <w:rsid w:val="00374F86"/>
    <w:rPr>
      <w:color w:val="0000FF"/>
      <w:u w:val="single"/>
    </w:rPr>
  </w:style>
  <w:style w:type="character" w:styleId="UnresolvedMention">
    <w:name w:val="Unresolved Mention"/>
    <w:basedOn w:val="DefaultParagraphFont"/>
    <w:uiPriority w:val="99"/>
    <w:semiHidden/>
    <w:unhideWhenUsed/>
    <w:rsid w:val="00374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748607">
      <w:bodyDiv w:val="1"/>
      <w:marLeft w:val="0"/>
      <w:marRight w:val="0"/>
      <w:marTop w:val="0"/>
      <w:marBottom w:val="0"/>
      <w:divBdr>
        <w:top w:val="none" w:sz="0" w:space="0" w:color="auto"/>
        <w:left w:val="none" w:sz="0" w:space="0" w:color="auto"/>
        <w:bottom w:val="none" w:sz="0" w:space="0" w:color="auto"/>
        <w:right w:val="none" w:sz="0" w:space="0" w:color="auto"/>
      </w:divBdr>
    </w:div>
    <w:div w:id="904416885">
      <w:bodyDiv w:val="1"/>
      <w:marLeft w:val="0"/>
      <w:marRight w:val="0"/>
      <w:marTop w:val="0"/>
      <w:marBottom w:val="0"/>
      <w:divBdr>
        <w:top w:val="none" w:sz="0" w:space="0" w:color="auto"/>
        <w:left w:val="none" w:sz="0" w:space="0" w:color="auto"/>
        <w:bottom w:val="none" w:sz="0" w:space="0" w:color="auto"/>
        <w:right w:val="none" w:sz="0" w:space="0" w:color="auto"/>
      </w:divBdr>
    </w:div>
    <w:div w:id="18360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hford.instructure.com/courses/86511/external_tools/retrieve?display=borderless&amp;;url=https%3A%2F%2Fcontent.ashford.edu%2Flti%3Fbookcode%3DTHORNDIKE.8496.17.1" TargetMode="External"/><Relationship Id="rId5" Type="http://schemas.openxmlformats.org/officeDocument/2006/relationships/hyperlink" Target="https://www-proquest-com.proxy-library.ashford.edu/scholarly-journals/reliability-validity-learning-behaviors-scale-lbs/docview/212094611/se-2?accountid=32521" TargetMode="External"/><Relationship Id="rId4" Type="http://schemas.openxmlformats.org/officeDocument/2006/relationships/hyperlink" Target="https://ashford.instructure.com/courses/86511/external_tools/retrieve?display=borderless&amp;;url=https%3A%2F%2Fcontent.ashford.edu%2Flti%3Fbookcode%3DTHORNDIKE.8496.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2</cp:revision>
  <dcterms:created xsi:type="dcterms:W3CDTF">2021-06-28T17:21:00Z</dcterms:created>
  <dcterms:modified xsi:type="dcterms:W3CDTF">2021-06-28T17:21:00Z</dcterms:modified>
</cp:coreProperties>
</file>