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631" w:rsidRPr="005E6651" w:rsidRDefault="00C30631" w:rsidP="005E6651">
      <w:pPr>
        <w:spacing w:line="480" w:lineRule="auto"/>
        <w:jc w:val="center"/>
        <w:rPr>
          <w:rFonts w:ascii="Times New Roman" w:hAnsi="Times New Roman" w:cs="Times New Roman"/>
          <w:sz w:val="24"/>
          <w:szCs w:val="24"/>
        </w:rPr>
      </w:pPr>
    </w:p>
    <w:p w:rsidR="00C30631" w:rsidRPr="005E6651" w:rsidRDefault="00C30631" w:rsidP="005E6651">
      <w:pPr>
        <w:spacing w:line="480" w:lineRule="auto"/>
        <w:jc w:val="center"/>
        <w:rPr>
          <w:rFonts w:ascii="Times New Roman" w:hAnsi="Times New Roman" w:cs="Times New Roman"/>
          <w:sz w:val="24"/>
          <w:szCs w:val="24"/>
        </w:rPr>
      </w:pPr>
    </w:p>
    <w:p w:rsidR="00C30631" w:rsidRPr="005E6651" w:rsidRDefault="00C30631" w:rsidP="005E6651">
      <w:pPr>
        <w:spacing w:line="480" w:lineRule="auto"/>
        <w:jc w:val="center"/>
        <w:rPr>
          <w:rFonts w:ascii="Times New Roman" w:hAnsi="Times New Roman" w:cs="Times New Roman"/>
          <w:sz w:val="24"/>
          <w:szCs w:val="24"/>
        </w:rPr>
      </w:pPr>
    </w:p>
    <w:p w:rsidR="00C30631" w:rsidRPr="005E6651" w:rsidRDefault="00C30631" w:rsidP="00A17307">
      <w:pPr>
        <w:spacing w:line="480" w:lineRule="auto"/>
        <w:rPr>
          <w:rFonts w:ascii="Times New Roman" w:hAnsi="Times New Roman" w:cs="Times New Roman"/>
          <w:sz w:val="24"/>
          <w:szCs w:val="24"/>
        </w:rPr>
      </w:pPr>
    </w:p>
    <w:p w:rsidR="00C30631" w:rsidRPr="005E6651" w:rsidRDefault="00C30631" w:rsidP="005E6651">
      <w:pPr>
        <w:spacing w:line="480" w:lineRule="auto"/>
        <w:jc w:val="center"/>
        <w:rPr>
          <w:rFonts w:ascii="Times New Roman" w:hAnsi="Times New Roman" w:cs="Times New Roman"/>
          <w:sz w:val="24"/>
          <w:szCs w:val="24"/>
        </w:rPr>
      </w:pPr>
    </w:p>
    <w:p w:rsidR="00C30631" w:rsidRPr="005E6651" w:rsidRDefault="00C30631" w:rsidP="005E6651">
      <w:pPr>
        <w:spacing w:line="480" w:lineRule="auto"/>
        <w:jc w:val="center"/>
        <w:rPr>
          <w:rFonts w:ascii="Times New Roman" w:hAnsi="Times New Roman" w:cs="Times New Roman"/>
          <w:sz w:val="24"/>
          <w:szCs w:val="24"/>
        </w:rPr>
      </w:pPr>
    </w:p>
    <w:p w:rsidR="00C30631" w:rsidRPr="005E6651" w:rsidRDefault="00C30631" w:rsidP="005E6651">
      <w:pPr>
        <w:spacing w:line="480" w:lineRule="auto"/>
        <w:jc w:val="center"/>
        <w:rPr>
          <w:rFonts w:ascii="Times New Roman" w:hAnsi="Times New Roman" w:cs="Times New Roman"/>
          <w:sz w:val="24"/>
          <w:szCs w:val="24"/>
        </w:rPr>
      </w:pPr>
    </w:p>
    <w:p w:rsidR="00C30631" w:rsidRPr="005E6651" w:rsidRDefault="00335E05"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EDIBLE VACCINES</w:t>
      </w:r>
    </w:p>
    <w:p w:rsidR="00C30631" w:rsidRPr="005E6651" w:rsidRDefault="00335E05"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Name</w:t>
      </w:r>
    </w:p>
    <w:p w:rsidR="00C30631" w:rsidRPr="005E6651" w:rsidRDefault="00335E05"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Student affiliation</w:t>
      </w:r>
    </w:p>
    <w:p w:rsidR="00C30631" w:rsidRPr="005E6651" w:rsidRDefault="00C30631" w:rsidP="005E6651">
      <w:pPr>
        <w:spacing w:line="480" w:lineRule="auto"/>
        <w:ind w:firstLine="720"/>
        <w:rPr>
          <w:rFonts w:ascii="Times New Roman" w:hAnsi="Times New Roman" w:cs="Times New Roman"/>
          <w:sz w:val="24"/>
          <w:szCs w:val="24"/>
        </w:rPr>
      </w:pPr>
    </w:p>
    <w:p w:rsidR="00C30631" w:rsidRPr="005E6651" w:rsidRDefault="00C30631" w:rsidP="005E6651">
      <w:pPr>
        <w:spacing w:line="480" w:lineRule="auto"/>
        <w:ind w:firstLine="720"/>
        <w:rPr>
          <w:rFonts w:ascii="Times New Roman" w:hAnsi="Times New Roman" w:cs="Times New Roman"/>
          <w:sz w:val="24"/>
          <w:szCs w:val="24"/>
        </w:rPr>
      </w:pPr>
    </w:p>
    <w:p w:rsidR="00C30631" w:rsidRPr="005E6651" w:rsidRDefault="00C30631" w:rsidP="005E6651">
      <w:pPr>
        <w:spacing w:line="480" w:lineRule="auto"/>
        <w:ind w:firstLine="720"/>
        <w:rPr>
          <w:rFonts w:ascii="Times New Roman" w:hAnsi="Times New Roman" w:cs="Times New Roman"/>
          <w:sz w:val="24"/>
          <w:szCs w:val="24"/>
        </w:rPr>
      </w:pPr>
    </w:p>
    <w:p w:rsidR="005E6651" w:rsidRDefault="005E6651" w:rsidP="005E6651">
      <w:pPr>
        <w:spacing w:line="480" w:lineRule="auto"/>
        <w:rPr>
          <w:rFonts w:ascii="Times New Roman" w:hAnsi="Times New Roman" w:cs="Times New Roman"/>
          <w:sz w:val="24"/>
          <w:szCs w:val="24"/>
        </w:rPr>
      </w:pPr>
    </w:p>
    <w:p w:rsidR="005E6651" w:rsidRDefault="005E6651" w:rsidP="005E6651">
      <w:pPr>
        <w:spacing w:line="480" w:lineRule="auto"/>
        <w:rPr>
          <w:rFonts w:ascii="Times New Roman" w:hAnsi="Times New Roman" w:cs="Times New Roman"/>
          <w:sz w:val="24"/>
          <w:szCs w:val="24"/>
        </w:rPr>
      </w:pPr>
    </w:p>
    <w:p w:rsidR="00E848DB" w:rsidRDefault="00E848DB" w:rsidP="00A17307">
      <w:pPr>
        <w:spacing w:line="480" w:lineRule="auto"/>
        <w:ind w:firstLine="720"/>
        <w:rPr>
          <w:rFonts w:ascii="Times New Roman" w:hAnsi="Times New Roman" w:cs="Times New Roman"/>
          <w:sz w:val="24"/>
          <w:szCs w:val="24"/>
        </w:rPr>
      </w:pPr>
    </w:p>
    <w:p w:rsidR="00E848DB" w:rsidRDefault="00E848DB" w:rsidP="00A17307">
      <w:pPr>
        <w:spacing w:line="480" w:lineRule="auto"/>
        <w:ind w:firstLine="720"/>
        <w:rPr>
          <w:rFonts w:ascii="Times New Roman" w:hAnsi="Times New Roman" w:cs="Times New Roman"/>
          <w:sz w:val="24"/>
          <w:szCs w:val="24"/>
        </w:rPr>
      </w:pPr>
    </w:p>
    <w:p w:rsidR="00E848DB" w:rsidRDefault="00E848DB" w:rsidP="00A17307">
      <w:pPr>
        <w:spacing w:line="480" w:lineRule="auto"/>
        <w:ind w:firstLine="720"/>
        <w:rPr>
          <w:rFonts w:ascii="Times New Roman" w:hAnsi="Times New Roman" w:cs="Times New Roman"/>
          <w:sz w:val="24"/>
          <w:szCs w:val="24"/>
        </w:rPr>
      </w:pPr>
    </w:p>
    <w:p w:rsidR="009A762C" w:rsidRPr="009A762C" w:rsidRDefault="009A762C" w:rsidP="009A762C">
      <w:pPr>
        <w:spacing w:line="480" w:lineRule="auto"/>
        <w:rPr>
          <w:rFonts w:ascii="Times New Roman" w:hAnsi="Times New Roman" w:cs="Times New Roman"/>
          <w:b/>
          <w:sz w:val="24"/>
          <w:szCs w:val="24"/>
        </w:rPr>
      </w:pPr>
      <w:r w:rsidRPr="009A762C">
        <w:rPr>
          <w:rFonts w:ascii="Times New Roman" w:hAnsi="Times New Roman" w:cs="Times New Roman"/>
          <w:b/>
          <w:sz w:val="24"/>
          <w:szCs w:val="24"/>
        </w:rPr>
        <w:lastRenderedPageBreak/>
        <w:t>INTRODUCTION</w:t>
      </w:r>
    </w:p>
    <w:p w:rsidR="00B23894" w:rsidRDefault="00335E05" w:rsidP="009A762C">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 xml:space="preserve">Charles </w:t>
      </w:r>
      <w:proofErr w:type="spellStart"/>
      <w:r w:rsidRPr="005E6651">
        <w:rPr>
          <w:rFonts w:ascii="Times New Roman" w:hAnsi="Times New Roman" w:cs="Times New Roman"/>
          <w:sz w:val="24"/>
          <w:szCs w:val="24"/>
        </w:rPr>
        <w:t>Arntzen</w:t>
      </w:r>
      <w:proofErr w:type="spellEnd"/>
      <w:r w:rsidRPr="005E6651">
        <w:rPr>
          <w:rFonts w:ascii="Times New Roman" w:hAnsi="Times New Roman" w:cs="Times New Roman"/>
          <w:sz w:val="24"/>
          <w:szCs w:val="24"/>
        </w:rPr>
        <w:t xml:space="preserve"> was the first person to use the term edible vaccine in the year 1990. Typically, the term refers to any food, mostly plants that produce proteins, vitamins, or any other nourishment </w:t>
      </w:r>
      <w:r w:rsidRPr="005E6651">
        <w:rPr>
          <w:rFonts w:ascii="Times New Roman" w:hAnsi="Times New Roman" w:cs="Times New Roman"/>
          <w:sz w:val="24"/>
          <w:szCs w:val="24"/>
        </w:rPr>
        <w:t>used as a vaccine against a specific illness. An example of such a vaccine is potatoes, which have vaccines against diphtheria, tetanus and hepatitis B. other examples include rice, banana tomato, carrots, lettuce, etc.</w:t>
      </w:r>
      <w:r w:rsidR="005459B3" w:rsidRPr="005E6651">
        <w:rPr>
          <w:rFonts w:ascii="Times New Roman" w:hAnsi="Times New Roman" w:cs="Times New Roman"/>
          <w:sz w:val="24"/>
          <w:szCs w:val="24"/>
        </w:rPr>
        <w:t xml:space="preserve"> </w:t>
      </w:r>
    </w:p>
    <w:p w:rsidR="009A762C" w:rsidRPr="009A762C" w:rsidRDefault="009A762C" w:rsidP="009A762C">
      <w:pPr>
        <w:spacing w:line="480" w:lineRule="auto"/>
        <w:rPr>
          <w:rFonts w:ascii="Times New Roman" w:hAnsi="Times New Roman" w:cs="Times New Roman"/>
          <w:b/>
          <w:sz w:val="24"/>
          <w:szCs w:val="24"/>
        </w:rPr>
      </w:pPr>
      <w:r w:rsidRPr="009A762C">
        <w:rPr>
          <w:rFonts w:ascii="Times New Roman" w:hAnsi="Times New Roman" w:cs="Times New Roman"/>
          <w:b/>
          <w:sz w:val="24"/>
          <w:szCs w:val="24"/>
        </w:rPr>
        <w:t>DISCUSSION</w:t>
      </w:r>
    </w:p>
    <w:p w:rsidR="003D1B26" w:rsidRDefault="00335E05" w:rsidP="005E6651">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The development of these vaccines i</w:t>
      </w:r>
      <w:r w:rsidRPr="005E6651">
        <w:rPr>
          <w:rFonts w:ascii="Times New Roman" w:hAnsi="Times New Roman" w:cs="Times New Roman"/>
          <w:sz w:val="24"/>
          <w:szCs w:val="24"/>
        </w:rPr>
        <w:t xml:space="preserve">nvolves incorporating the chosen desired genes into a plant and then producing proteins encoded. The process is called transformation, and these altered crops are referred to as transgenic plants. </w:t>
      </w:r>
      <w:r w:rsidR="00977942" w:rsidRPr="005E6651">
        <w:rPr>
          <w:rFonts w:ascii="Times New Roman" w:hAnsi="Times New Roman" w:cs="Times New Roman"/>
          <w:sz w:val="24"/>
          <w:szCs w:val="24"/>
        </w:rPr>
        <w:t>Once</w:t>
      </w:r>
      <w:r w:rsidR="005459B3" w:rsidRPr="005E6651">
        <w:rPr>
          <w:rFonts w:ascii="Times New Roman" w:hAnsi="Times New Roman" w:cs="Times New Roman"/>
          <w:sz w:val="24"/>
          <w:szCs w:val="24"/>
        </w:rPr>
        <w:t xml:space="preserve"> the fruit, plant, or the product derived from the plant is orally ingested, it stimulates both the humeral and mucosal immune systems</w:t>
      </w:r>
      <w:r w:rsidR="005E6651" w:rsidRPr="005E6651">
        <w:rPr>
          <w:rFonts w:ascii="Times New Roman" w:hAnsi="Times New Roman" w:cs="Times New Roman"/>
          <w:sz w:val="24"/>
          <w:szCs w:val="24"/>
        </w:rPr>
        <w:t xml:space="preserve"> (</w:t>
      </w:r>
      <w:r w:rsidR="005E6651" w:rsidRPr="005E6651">
        <w:rPr>
          <w:rFonts w:ascii="Times New Roman" w:hAnsi="Times New Roman" w:cs="Times New Roman"/>
          <w:color w:val="222222"/>
          <w:sz w:val="24"/>
          <w:szCs w:val="24"/>
          <w:shd w:val="clear" w:color="auto" w:fill="FFFFFF"/>
        </w:rPr>
        <w:t>Langridge, 2018</w:t>
      </w:r>
      <w:r w:rsidR="005E6651" w:rsidRPr="005E6651">
        <w:rPr>
          <w:rFonts w:ascii="Times New Roman" w:hAnsi="Times New Roman" w:cs="Times New Roman"/>
          <w:sz w:val="24"/>
          <w:szCs w:val="24"/>
        </w:rPr>
        <w:t>)</w:t>
      </w:r>
      <w:r w:rsidR="005459B3" w:rsidRPr="005E6651">
        <w:rPr>
          <w:rFonts w:ascii="Times New Roman" w:hAnsi="Times New Roman" w:cs="Times New Roman"/>
          <w:sz w:val="24"/>
          <w:szCs w:val="24"/>
        </w:rPr>
        <w:t xml:space="preserve">. Edible vaccines are crops that are genetically modified and contain boosted immunity for specific illnesses. </w:t>
      </w:r>
      <w:r w:rsidR="00CA51F8" w:rsidRPr="005E6651">
        <w:rPr>
          <w:rFonts w:ascii="Times New Roman" w:hAnsi="Times New Roman" w:cs="Times New Roman"/>
          <w:sz w:val="24"/>
          <w:szCs w:val="24"/>
        </w:rPr>
        <w:t>Edible vaccines are now being developed for Hepatitis C and B, mouth and foot disease, cholera, and measles.</w:t>
      </w:r>
    </w:p>
    <w:p w:rsidR="009A762C" w:rsidRPr="009A762C" w:rsidRDefault="009A762C" w:rsidP="009A762C">
      <w:pPr>
        <w:spacing w:line="480" w:lineRule="auto"/>
        <w:rPr>
          <w:rFonts w:ascii="Times New Roman" w:hAnsi="Times New Roman" w:cs="Times New Roman"/>
          <w:b/>
          <w:sz w:val="24"/>
          <w:szCs w:val="24"/>
        </w:rPr>
      </w:pPr>
      <w:r w:rsidRPr="009A762C">
        <w:rPr>
          <w:rFonts w:ascii="Times New Roman" w:hAnsi="Times New Roman" w:cs="Times New Roman"/>
          <w:b/>
          <w:sz w:val="24"/>
          <w:szCs w:val="24"/>
        </w:rPr>
        <w:t>COMPARE AND CONTRAST</w:t>
      </w:r>
    </w:p>
    <w:p w:rsidR="00977942" w:rsidRPr="005E6651" w:rsidRDefault="00335E05" w:rsidP="005E6651">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In comparison, just like the traditional vaccines, Edible vaccines are said to be subunit vaccines</w:t>
      </w:r>
      <w:r w:rsidR="00B36D40" w:rsidRPr="005E6651">
        <w:rPr>
          <w:rFonts w:ascii="Times New Roman" w:hAnsi="Times New Roman" w:cs="Times New Roman"/>
          <w:sz w:val="24"/>
          <w:szCs w:val="24"/>
        </w:rPr>
        <w:t>; this</w:t>
      </w:r>
      <w:r w:rsidRPr="005E6651">
        <w:rPr>
          <w:rFonts w:ascii="Times New Roman" w:hAnsi="Times New Roman" w:cs="Times New Roman"/>
          <w:sz w:val="24"/>
          <w:szCs w:val="24"/>
        </w:rPr>
        <w:t xml:space="preserve"> is because they are made of antigen</w:t>
      </w:r>
      <w:r w:rsidR="00B36D40" w:rsidRPr="005E6651">
        <w:rPr>
          <w:rFonts w:ascii="Times New Roman" w:hAnsi="Times New Roman" w:cs="Times New Roman"/>
          <w:sz w:val="24"/>
          <w:szCs w:val="24"/>
        </w:rPr>
        <w:t>ic</w:t>
      </w:r>
      <w:r w:rsidR="00C30631" w:rsidRPr="005E6651">
        <w:rPr>
          <w:rFonts w:ascii="Times New Roman" w:hAnsi="Times New Roman" w:cs="Times New Roman"/>
          <w:sz w:val="24"/>
          <w:szCs w:val="24"/>
        </w:rPr>
        <w:t xml:space="preserve"> proteins d</w:t>
      </w:r>
      <w:r w:rsidRPr="005E6651">
        <w:rPr>
          <w:rFonts w:ascii="Times New Roman" w:hAnsi="Times New Roman" w:cs="Times New Roman"/>
          <w:sz w:val="24"/>
          <w:szCs w:val="24"/>
        </w:rPr>
        <w:t>esigned for a</w:t>
      </w:r>
      <w:r w:rsidR="00582627">
        <w:rPr>
          <w:rFonts w:ascii="Times New Roman" w:hAnsi="Times New Roman" w:cs="Times New Roman"/>
          <w:sz w:val="24"/>
          <w:szCs w:val="24"/>
        </w:rPr>
        <w:t xml:space="preserve"> certa</w:t>
      </w:r>
      <w:r w:rsidRPr="005E6651">
        <w:rPr>
          <w:rFonts w:ascii="Times New Roman" w:hAnsi="Times New Roman" w:cs="Times New Roman"/>
          <w:sz w:val="24"/>
          <w:szCs w:val="24"/>
        </w:rPr>
        <w:t xml:space="preserve">in pathogen, but they </w:t>
      </w:r>
      <w:r w:rsidRPr="005E6651">
        <w:rPr>
          <w:rFonts w:ascii="Times New Roman" w:hAnsi="Times New Roman" w:cs="Times New Roman"/>
          <w:sz w:val="24"/>
          <w:szCs w:val="24"/>
        </w:rPr>
        <w:t>lack gene</w:t>
      </w:r>
      <w:r w:rsidR="00582627">
        <w:rPr>
          <w:rFonts w:ascii="Times New Roman" w:hAnsi="Times New Roman" w:cs="Times New Roman"/>
          <w:sz w:val="24"/>
          <w:szCs w:val="24"/>
        </w:rPr>
        <w:t>s for the formation of the full-</w:t>
      </w:r>
      <w:r w:rsidRPr="005E6651">
        <w:rPr>
          <w:rFonts w:ascii="Times New Roman" w:hAnsi="Times New Roman" w:cs="Times New Roman"/>
          <w:sz w:val="24"/>
          <w:szCs w:val="24"/>
        </w:rPr>
        <w:t>pathogen</w:t>
      </w:r>
      <w:r w:rsidR="00B36D40" w:rsidRPr="005E6651">
        <w:rPr>
          <w:rFonts w:ascii="Times New Roman" w:hAnsi="Times New Roman" w:cs="Times New Roman"/>
          <w:sz w:val="24"/>
          <w:szCs w:val="24"/>
        </w:rPr>
        <w:t xml:space="preserve">. </w:t>
      </w:r>
    </w:p>
    <w:p w:rsidR="00B23894" w:rsidRDefault="00335E05" w:rsidP="005E6651">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 xml:space="preserve">Edible </w:t>
      </w:r>
      <w:r w:rsidR="00582627">
        <w:rPr>
          <w:rFonts w:ascii="Times New Roman" w:hAnsi="Times New Roman" w:cs="Times New Roman"/>
          <w:sz w:val="24"/>
          <w:szCs w:val="24"/>
        </w:rPr>
        <w:t xml:space="preserve">or Plant </w:t>
      </w:r>
      <w:r w:rsidRPr="005E6651">
        <w:rPr>
          <w:rFonts w:ascii="Times New Roman" w:hAnsi="Times New Roman" w:cs="Times New Roman"/>
          <w:sz w:val="24"/>
          <w:szCs w:val="24"/>
        </w:rPr>
        <w:t xml:space="preserve">vaccines are very different from traditional vaccines in several ways and surpass many of their disadvantages. Traditional vaccines are known to be too costly or prohibited to develop and </w:t>
      </w:r>
      <w:r w:rsidRPr="005E6651">
        <w:rPr>
          <w:rFonts w:ascii="Times New Roman" w:hAnsi="Times New Roman" w:cs="Times New Roman"/>
          <w:sz w:val="24"/>
          <w:szCs w:val="24"/>
        </w:rPr>
        <w:t>manufacture in individual nations. In contrast, edible vaccines are very easy to produce, sterilize, distribute, and purify</w:t>
      </w:r>
      <w:r w:rsidR="005E6651" w:rsidRPr="005E6651">
        <w:rPr>
          <w:rFonts w:ascii="Times New Roman" w:hAnsi="Times New Roman" w:cs="Times New Roman"/>
          <w:sz w:val="24"/>
          <w:szCs w:val="24"/>
        </w:rPr>
        <w:t xml:space="preserve"> (</w:t>
      </w:r>
      <w:r w:rsidR="005E6651" w:rsidRPr="005E6651">
        <w:rPr>
          <w:rFonts w:ascii="Times New Roman" w:hAnsi="Times New Roman" w:cs="Times New Roman"/>
          <w:color w:val="222222"/>
          <w:sz w:val="24"/>
          <w:szCs w:val="24"/>
          <w:shd w:val="clear" w:color="auto" w:fill="FFFFFF"/>
        </w:rPr>
        <w:t>Langridge, 2018</w:t>
      </w:r>
      <w:r w:rsidR="005E6651" w:rsidRPr="005E6651">
        <w:rPr>
          <w:rFonts w:ascii="Times New Roman" w:hAnsi="Times New Roman" w:cs="Times New Roman"/>
          <w:sz w:val="24"/>
          <w:szCs w:val="24"/>
        </w:rPr>
        <w:t>)</w:t>
      </w:r>
      <w:r w:rsidRPr="005E6651">
        <w:rPr>
          <w:rFonts w:ascii="Times New Roman" w:hAnsi="Times New Roman" w:cs="Times New Roman"/>
          <w:sz w:val="24"/>
          <w:szCs w:val="24"/>
        </w:rPr>
        <w:t xml:space="preserve">. Since they don't need </w:t>
      </w:r>
      <w:r w:rsidRPr="005E6651">
        <w:rPr>
          <w:rFonts w:ascii="Times New Roman" w:hAnsi="Times New Roman" w:cs="Times New Roman"/>
          <w:sz w:val="24"/>
          <w:szCs w:val="24"/>
        </w:rPr>
        <w:lastRenderedPageBreak/>
        <w:t>expensive manufacturing machines, only soil rich in nutrients, the vaccine's growing cost i</w:t>
      </w:r>
      <w:r w:rsidRPr="005E6651">
        <w:rPr>
          <w:rFonts w:ascii="Times New Roman" w:hAnsi="Times New Roman" w:cs="Times New Roman"/>
          <w:sz w:val="24"/>
          <w:szCs w:val="24"/>
        </w:rPr>
        <w:t>s significantly reduced. Additionally, edible vaccines are less costly and more comfortable to store because, unlike traditional vaccines, they don't need strict refrigerated storage. They also don't need a subsidiary element to stimulate an immune respons</w:t>
      </w:r>
      <w:r w:rsidRPr="005E6651">
        <w:rPr>
          <w:rFonts w:ascii="Times New Roman" w:hAnsi="Times New Roman" w:cs="Times New Roman"/>
          <w:sz w:val="24"/>
          <w:szCs w:val="24"/>
        </w:rPr>
        <w:t xml:space="preserve">e like other vaccines. </w:t>
      </w:r>
    </w:p>
    <w:p w:rsidR="009A762C" w:rsidRPr="009A762C" w:rsidRDefault="009A762C" w:rsidP="009A762C">
      <w:pPr>
        <w:spacing w:line="480" w:lineRule="auto"/>
        <w:rPr>
          <w:rFonts w:ascii="Times New Roman" w:hAnsi="Times New Roman" w:cs="Times New Roman"/>
          <w:b/>
          <w:sz w:val="24"/>
          <w:szCs w:val="24"/>
        </w:rPr>
      </w:pPr>
      <w:r w:rsidRPr="009A762C">
        <w:rPr>
          <w:rFonts w:ascii="Times New Roman" w:hAnsi="Times New Roman" w:cs="Times New Roman"/>
          <w:b/>
          <w:sz w:val="24"/>
          <w:szCs w:val="24"/>
        </w:rPr>
        <w:t>CONCLUSION</w:t>
      </w:r>
      <w:bookmarkStart w:id="0" w:name="_GoBack"/>
      <w:bookmarkEnd w:id="0"/>
    </w:p>
    <w:p w:rsidR="00B36D40" w:rsidRPr="005E6651" w:rsidRDefault="00335E05" w:rsidP="009A762C">
      <w:pPr>
        <w:spacing w:line="480" w:lineRule="auto"/>
        <w:ind w:firstLine="720"/>
        <w:rPr>
          <w:rFonts w:ascii="Times New Roman" w:hAnsi="Times New Roman" w:cs="Times New Roman"/>
          <w:sz w:val="24"/>
          <w:szCs w:val="24"/>
        </w:rPr>
      </w:pPr>
      <w:r w:rsidRPr="005E6651">
        <w:rPr>
          <w:rFonts w:ascii="Times New Roman" w:hAnsi="Times New Roman" w:cs="Times New Roman"/>
          <w:sz w:val="24"/>
          <w:szCs w:val="24"/>
        </w:rPr>
        <w:t>In conclusion, edible vacc</w:t>
      </w:r>
      <w:r w:rsidR="00C30631" w:rsidRPr="005E6651">
        <w:rPr>
          <w:rFonts w:ascii="Times New Roman" w:hAnsi="Times New Roman" w:cs="Times New Roman"/>
          <w:sz w:val="24"/>
          <w:szCs w:val="24"/>
        </w:rPr>
        <w:t>ines present a reasonable possibility of more efficient and safer immunization in the future. The disadvantages of ancient vaccines, like their production, delivery, and distribution, can now be conquered using edible vaccines. Hence these vaccines provide a brighter opportunity in the foreseeable future when injectable needles won't be necessary anymore but a fruitful path where a person gets protected from an illness by eating a fruit.</w:t>
      </w:r>
    </w:p>
    <w:p w:rsidR="005E6651" w:rsidRDefault="005E6651" w:rsidP="005E6651">
      <w:pPr>
        <w:spacing w:line="480" w:lineRule="auto"/>
        <w:rPr>
          <w:rFonts w:ascii="Times New Roman" w:hAnsi="Times New Roman" w:cs="Times New Roman"/>
          <w:sz w:val="24"/>
          <w:szCs w:val="24"/>
        </w:rPr>
      </w:pPr>
    </w:p>
    <w:p w:rsidR="005E6651" w:rsidRDefault="005E6651" w:rsidP="005E6651">
      <w:pPr>
        <w:spacing w:line="480" w:lineRule="auto"/>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A17307" w:rsidRDefault="00A17307" w:rsidP="005E6651">
      <w:pPr>
        <w:spacing w:line="480" w:lineRule="auto"/>
        <w:jc w:val="center"/>
        <w:rPr>
          <w:rFonts w:ascii="Times New Roman" w:hAnsi="Times New Roman" w:cs="Times New Roman"/>
          <w:sz w:val="24"/>
          <w:szCs w:val="24"/>
        </w:rPr>
      </w:pPr>
    </w:p>
    <w:p w:rsidR="005E6651" w:rsidRPr="005E6651" w:rsidRDefault="00335E05" w:rsidP="005E6651">
      <w:pPr>
        <w:spacing w:line="480" w:lineRule="auto"/>
        <w:jc w:val="center"/>
        <w:rPr>
          <w:rFonts w:ascii="Times New Roman" w:hAnsi="Times New Roman" w:cs="Times New Roman"/>
          <w:sz w:val="24"/>
          <w:szCs w:val="24"/>
        </w:rPr>
      </w:pPr>
      <w:r w:rsidRPr="005E6651">
        <w:rPr>
          <w:rFonts w:ascii="Times New Roman" w:hAnsi="Times New Roman" w:cs="Times New Roman"/>
          <w:sz w:val="24"/>
          <w:szCs w:val="24"/>
        </w:rPr>
        <w:t>References</w:t>
      </w:r>
    </w:p>
    <w:p w:rsidR="005E6651" w:rsidRPr="005E6651" w:rsidRDefault="00335E05" w:rsidP="005E6651">
      <w:pPr>
        <w:spacing w:line="480" w:lineRule="auto"/>
        <w:rPr>
          <w:rFonts w:ascii="Times New Roman" w:hAnsi="Times New Roman" w:cs="Times New Roman"/>
          <w:color w:val="222222"/>
          <w:sz w:val="24"/>
          <w:szCs w:val="24"/>
          <w:shd w:val="clear" w:color="auto" w:fill="FFFFFF"/>
        </w:rPr>
      </w:pPr>
      <w:r w:rsidRPr="005E6651">
        <w:rPr>
          <w:rFonts w:ascii="Times New Roman" w:hAnsi="Times New Roman" w:cs="Times New Roman"/>
          <w:color w:val="222222"/>
          <w:sz w:val="24"/>
          <w:szCs w:val="24"/>
          <w:shd w:val="clear" w:color="auto" w:fill="FFFFFF"/>
        </w:rPr>
        <w:t>Langridge, W. H. (2018). Edible vaccines. </w:t>
      </w:r>
      <w:r w:rsidRPr="005E6651">
        <w:rPr>
          <w:rFonts w:ascii="Times New Roman" w:hAnsi="Times New Roman" w:cs="Times New Roman"/>
          <w:i/>
          <w:iCs/>
          <w:color w:val="222222"/>
          <w:sz w:val="24"/>
          <w:szCs w:val="24"/>
          <w:shd w:val="clear" w:color="auto" w:fill="FFFFFF"/>
        </w:rPr>
        <w:t>Scientific American</w:t>
      </w:r>
      <w:r w:rsidRPr="005E6651">
        <w:rPr>
          <w:rFonts w:ascii="Times New Roman" w:hAnsi="Times New Roman" w:cs="Times New Roman"/>
          <w:color w:val="222222"/>
          <w:sz w:val="24"/>
          <w:szCs w:val="24"/>
          <w:shd w:val="clear" w:color="auto" w:fill="FFFFFF"/>
        </w:rPr>
        <w:t>, </w:t>
      </w:r>
      <w:r w:rsidRPr="005E6651">
        <w:rPr>
          <w:rFonts w:ascii="Times New Roman" w:hAnsi="Times New Roman" w:cs="Times New Roman"/>
          <w:i/>
          <w:iCs/>
          <w:color w:val="222222"/>
          <w:sz w:val="24"/>
          <w:szCs w:val="24"/>
          <w:shd w:val="clear" w:color="auto" w:fill="FFFFFF"/>
        </w:rPr>
        <w:t>283</w:t>
      </w:r>
      <w:r w:rsidRPr="005E6651">
        <w:rPr>
          <w:rFonts w:ascii="Times New Roman" w:hAnsi="Times New Roman" w:cs="Times New Roman"/>
          <w:color w:val="222222"/>
          <w:sz w:val="24"/>
          <w:szCs w:val="24"/>
          <w:shd w:val="clear" w:color="auto" w:fill="FFFFFF"/>
        </w:rPr>
        <w:t>(3), 66-71.</w:t>
      </w:r>
    </w:p>
    <w:p w:rsidR="005E6651" w:rsidRPr="005E6651" w:rsidRDefault="00335E05" w:rsidP="005E6651">
      <w:pPr>
        <w:spacing w:line="480" w:lineRule="auto"/>
        <w:rPr>
          <w:rFonts w:ascii="Times New Roman" w:hAnsi="Times New Roman" w:cs="Times New Roman"/>
          <w:color w:val="222222"/>
          <w:sz w:val="24"/>
          <w:szCs w:val="24"/>
          <w:shd w:val="clear" w:color="auto" w:fill="FFFFFF"/>
        </w:rPr>
      </w:pPr>
      <w:r w:rsidRPr="005E6651">
        <w:rPr>
          <w:rFonts w:ascii="Times New Roman" w:hAnsi="Times New Roman" w:cs="Times New Roman"/>
          <w:color w:val="222222"/>
          <w:sz w:val="24"/>
          <w:szCs w:val="24"/>
          <w:shd w:val="clear" w:color="auto" w:fill="FFFFFF"/>
        </w:rPr>
        <w:t>Lal, P., Ramachandran, V. G., Goyal, R., &amp; Sharma, R. (2017). Edible vaccines: current status and future. </w:t>
      </w:r>
      <w:r w:rsidRPr="005E6651">
        <w:rPr>
          <w:rFonts w:ascii="Times New Roman" w:hAnsi="Times New Roman" w:cs="Times New Roman"/>
          <w:i/>
          <w:iCs/>
          <w:color w:val="222222"/>
          <w:sz w:val="24"/>
          <w:szCs w:val="24"/>
          <w:shd w:val="clear" w:color="auto" w:fill="FFFFFF"/>
        </w:rPr>
        <w:t>Indian journal of medical microbiology</w:t>
      </w:r>
      <w:r w:rsidRPr="005E6651">
        <w:rPr>
          <w:rFonts w:ascii="Times New Roman" w:hAnsi="Times New Roman" w:cs="Times New Roman"/>
          <w:color w:val="222222"/>
          <w:sz w:val="24"/>
          <w:szCs w:val="24"/>
          <w:shd w:val="clear" w:color="auto" w:fill="FFFFFF"/>
        </w:rPr>
        <w:t>, </w:t>
      </w:r>
      <w:r w:rsidRPr="005E6651">
        <w:rPr>
          <w:rFonts w:ascii="Times New Roman" w:hAnsi="Times New Roman" w:cs="Times New Roman"/>
          <w:i/>
          <w:iCs/>
          <w:color w:val="222222"/>
          <w:sz w:val="24"/>
          <w:szCs w:val="24"/>
          <w:shd w:val="clear" w:color="auto" w:fill="FFFFFF"/>
        </w:rPr>
        <w:t>25</w:t>
      </w:r>
      <w:r w:rsidRPr="005E6651">
        <w:rPr>
          <w:rFonts w:ascii="Times New Roman" w:hAnsi="Times New Roman" w:cs="Times New Roman"/>
          <w:color w:val="222222"/>
          <w:sz w:val="24"/>
          <w:szCs w:val="24"/>
          <w:shd w:val="clear" w:color="auto" w:fill="FFFFFF"/>
        </w:rPr>
        <w:t>(2), 93.</w:t>
      </w:r>
    </w:p>
    <w:p w:rsidR="005E6651" w:rsidRPr="005E6651" w:rsidRDefault="00335E05" w:rsidP="005E6651">
      <w:pPr>
        <w:spacing w:line="480" w:lineRule="auto"/>
        <w:rPr>
          <w:rFonts w:ascii="Times New Roman" w:hAnsi="Times New Roman" w:cs="Times New Roman"/>
          <w:sz w:val="24"/>
          <w:szCs w:val="24"/>
        </w:rPr>
      </w:pPr>
      <w:r w:rsidRPr="005E6651">
        <w:rPr>
          <w:rFonts w:ascii="Times New Roman" w:hAnsi="Times New Roman" w:cs="Times New Roman"/>
          <w:color w:val="222222"/>
          <w:sz w:val="24"/>
          <w:szCs w:val="24"/>
          <w:shd w:val="clear" w:color="auto" w:fill="FFFFFF"/>
        </w:rPr>
        <w:t>Walmsley, A. M., &amp; Arntzen, C. J. (2019). Plants for delivery of edible vaccines. </w:t>
      </w:r>
      <w:r w:rsidRPr="005E6651">
        <w:rPr>
          <w:rFonts w:ascii="Times New Roman" w:hAnsi="Times New Roman" w:cs="Times New Roman"/>
          <w:i/>
          <w:iCs/>
          <w:color w:val="222222"/>
          <w:sz w:val="24"/>
          <w:szCs w:val="24"/>
          <w:shd w:val="clear" w:color="auto" w:fill="FFFFFF"/>
        </w:rPr>
        <w:t>Current opinion in biotechnology</w:t>
      </w:r>
      <w:r w:rsidRPr="005E6651">
        <w:rPr>
          <w:rFonts w:ascii="Times New Roman" w:hAnsi="Times New Roman" w:cs="Times New Roman"/>
          <w:color w:val="222222"/>
          <w:sz w:val="24"/>
          <w:szCs w:val="24"/>
          <w:shd w:val="clear" w:color="auto" w:fill="FFFFFF"/>
        </w:rPr>
        <w:t>, </w:t>
      </w:r>
      <w:r w:rsidRPr="005E6651">
        <w:rPr>
          <w:rFonts w:ascii="Times New Roman" w:hAnsi="Times New Roman" w:cs="Times New Roman"/>
          <w:i/>
          <w:iCs/>
          <w:color w:val="222222"/>
          <w:sz w:val="24"/>
          <w:szCs w:val="24"/>
          <w:shd w:val="clear" w:color="auto" w:fill="FFFFFF"/>
        </w:rPr>
        <w:t>11</w:t>
      </w:r>
      <w:r w:rsidRPr="005E6651">
        <w:rPr>
          <w:rFonts w:ascii="Times New Roman" w:hAnsi="Times New Roman" w:cs="Times New Roman"/>
          <w:color w:val="222222"/>
          <w:sz w:val="24"/>
          <w:szCs w:val="24"/>
          <w:shd w:val="clear" w:color="auto" w:fill="FFFFFF"/>
        </w:rPr>
        <w:t>(2), 126-129.</w:t>
      </w:r>
    </w:p>
    <w:sectPr w:rsidR="005E6651" w:rsidRPr="005E665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E05" w:rsidRDefault="00335E05">
      <w:pPr>
        <w:spacing w:after="0" w:line="240" w:lineRule="auto"/>
      </w:pPr>
      <w:r>
        <w:separator/>
      </w:r>
    </w:p>
  </w:endnote>
  <w:endnote w:type="continuationSeparator" w:id="0">
    <w:p w:rsidR="00335E05" w:rsidRDefault="00335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E05" w:rsidRDefault="00335E05">
      <w:pPr>
        <w:spacing w:after="0" w:line="240" w:lineRule="auto"/>
      </w:pPr>
      <w:r>
        <w:separator/>
      </w:r>
    </w:p>
  </w:footnote>
  <w:footnote w:type="continuationSeparator" w:id="0">
    <w:p w:rsidR="00335E05" w:rsidRDefault="00335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62838"/>
      <w:docPartObj>
        <w:docPartGallery w:val="Page Numbers (Top of Page)"/>
        <w:docPartUnique/>
      </w:docPartObj>
    </w:sdtPr>
    <w:sdtEndPr>
      <w:rPr>
        <w:noProof/>
      </w:rPr>
    </w:sdtEndPr>
    <w:sdtContent>
      <w:p w:rsidR="00C30631" w:rsidRDefault="00335E05" w:rsidP="00C30631">
        <w:r w:rsidRPr="00C30631">
          <w:rPr>
            <w:rFonts w:ascii="Times New Roman" w:hAnsi="Times New Roman" w:cs="Times New Roman"/>
            <w:sz w:val="24"/>
            <w:szCs w:val="24"/>
          </w:rPr>
          <w:t>EDIBLE VACCINES</w:t>
        </w:r>
        <w:r>
          <w:rPr>
            <w:rFonts w:ascii="Times New Roman" w:hAnsi="Times New Roman" w:cs="Times New Roman"/>
            <w:sz w:val="24"/>
            <w:szCs w:val="24"/>
          </w:rPr>
          <w:t xml:space="preserve">          </w:t>
        </w:r>
        <w:r w:rsidRPr="00C3063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631">
          <w:rPr>
            <w:rFonts w:ascii="Times New Roman" w:hAnsi="Times New Roman" w:cs="Times New Roman"/>
            <w:sz w:val="24"/>
            <w:szCs w:val="24"/>
          </w:rPr>
          <w:t xml:space="preserve">       </w:t>
        </w:r>
        <w:r>
          <w:rPr>
            <w:rFonts w:ascii="Times New Roman" w:hAnsi="Times New Roman" w:cs="Times New Roman"/>
            <w:sz w:val="24"/>
            <w:szCs w:val="24"/>
          </w:rPr>
          <w:t xml:space="preserve">  </w:t>
        </w:r>
        <w:r w:rsidR="00597D2A">
          <w:rPr>
            <w:rFonts w:ascii="Times New Roman" w:hAnsi="Times New Roman" w:cs="Times New Roman"/>
            <w:sz w:val="24"/>
            <w:szCs w:val="24"/>
          </w:rPr>
          <w:t xml:space="preserve">                         </w:t>
        </w:r>
        <w:r>
          <w:rPr>
            <w:rFonts w:ascii="Times New Roman" w:hAnsi="Times New Roman" w:cs="Times New Roman"/>
            <w:sz w:val="24"/>
            <w:szCs w:val="24"/>
          </w:rPr>
          <w:t xml:space="preserve">                             1</w:t>
        </w:r>
      </w:p>
    </w:sdtContent>
  </w:sdt>
  <w:p w:rsidR="00C30631" w:rsidRDefault="00C306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CBA"/>
    <w:rsid w:val="0016134E"/>
    <w:rsid w:val="00335E05"/>
    <w:rsid w:val="003D1B26"/>
    <w:rsid w:val="003E3CBA"/>
    <w:rsid w:val="00427DB1"/>
    <w:rsid w:val="005459B3"/>
    <w:rsid w:val="00582627"/>
    <w:rsid w:val="00597D2A"/>
    <w:rsid w:val="005E6651"/>
    <w:rsid w:val="00977942"/>
    <w:rsid w:val="009A762C"/>
    <w:rsid w:val="00A17307"/>
    <w:rsid w:val="00B03CE8"/>
    <w:rsid w:val="00B23894"/>
    <w:rsid w:val="00B36D40"/>
    <w:rsid w:val="00C30631"/>
    <w:rsid w:val="00CA51F8"/>
    <w:rsid w:val="00E848DB"/>
    <w:rsid w:val="00F83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12B9"/>
  <w15:chartTrackingRefBased/>
  <w15:docId w15:val="{0AD30FF1-CA4F-4AAC-96D4-9527EF541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631"/>
  </w:style>
  <w:style w:type="paragraph" w:styleId="Footer">
    <w:name w:val="footer"/>
    <w:basedOn w:val="Normal"/>
    <w:link w:val="FooterChar"/>
    <w:uiPriority w:val="99"/>
    <w:unhideWhenUsed/>
    <w:rsid w:val="00C30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2020-11-28T20:51:00Z</dcterms:created>
  <dcterms:modified xsi:type="dcterms:W3CDTF">2020-11-28T20:51:00Z</dcterms:modified>
</cp:coreProperties>
</file>