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517" w:rsidRDefault="007B6517" w:rsidP="007B6517">
      <w:pPr>
        <w:jc w:val="center"/>
      </w:pPr>
    </w:p>
    <w:p w:rsidR="007B6517" w:rsidRDefault="007B6517" w:rsidP="007B6517">
      <w:pPr>
        <w:jc w:val="center"/>
      </w:pPr>
    </w:p>
    <w:p w:rsidR="007B6517" w:rsidRDefault="007B6517" w:rsidP="007B6517">
      <w:pPr>
        <w:jc w:val="center"/>
      </w:pPr>
    </w:p>
    <w:p w:rsidR="007B6517" w:rsidRDefault="007B6517" w:rsidP="007B6517">
      <w:pPr>
        <w:jc w:val="center"/>
      </w:pPr>
    </w:p>
    <w:p w:rsidR="007B6517" w:rsidRDefault="007B6517" w:rsidP="007B6517">
      <w:pPr>
        <w:jc w:val="center"/>
      </w:pPr>
      <w:r>
        <w:t>EDUCATION</w:t>
      </w:r>
    </w:p>
    <w:p w:rsidR="007B6517" w:rsidRDefault="007B6517" w:rsidP="007B6517">
      <w:pPr>
        <w:jc w:val="center"/>
      </w:pPr>
      <w:r>
        <w:t>Institution of affiliation</w:t>
      </w:r>
    </w:p>
    <w:p w:rsidR="007B6517" w:rsidRDefault="007B6517" w:rsidP="007B6517">
      <w:pPr>
        <w:jc w:val="center"/>
      </w:pPr>
      <w:r>
        <w:t>Name</w:t>
      </w:r>
    </w:p>
    <w:p w:rsidR="007B6517" w:rsidRDefault="007B6517" w:rsidP="007B6517">
      <w:pPr>
        <w:jc w:val="center"/>
      </w:pPr>
      <w:r>
        <w:t>Date</w:t>
      </w:r>
    </w:p>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r>
        <w:t xml:space="preserve"> </w:t>
      </w:r>
      <w:bookmarkStart w:id="0" w:name="_GoBack"/>
      <w:bookmarkEnd w:id="0"/>
    </w:p>
    <w:p w:rsidR="007B6517" w:rsidRDefault="007B6517" w:rsidP="007B6517">
      <w:r>
        <w:lastRenderedPageBreak/>
        <w:t xml:space="preserve">Politics and policy: Teachers play a very important role in the public education system. They have a significant effect on the students. In the last decades, efforts are put in place so that </w:t>
      </w:r>
      <w:proofErr w:type="gramStart"/>
      <w:r>
        <w:t>may</w:t>
      </w:r>
      <w:proofErr w:type="gramEnd"/>
      <w:r>
        <w:t xml:space="preserve"> candidates can be attracted to the teaching profession. These efforts are also aimed to ensure development and retention of teachers who are effective. The strategy used to distribute salaries among teachers is essential for this paper. The policy to have some teachers paid more than others is always in conflict with desired policy objective, economics, and politics. Policymakers set the salary level for teachers in each district or state in those stated. It is for this reason those salary adjustments are made based on the number of years of experience for teachers and the level of education for teachers. These salary schedules were aimed at resolving salary inequalities in many dimensions. Though this has been effective to some point, it has institutionalized inequalities on the level of education and years of experience.</w:t>
      </w:r>
    </w:p>
    <w:p w:rsidR="007B6517" w:rsidRDefault="007B6517" w:rsidP="007B6517">
      <w:r>
        <w:t>For many years, it has been observed that the inequalities in teachers' pension system and school finance originate from the teachers' salaries. Many scholars have been criticizing the method used to compensate teachers for a very long time. They have cited the fact that monetary reward has been awarded on what they term as unproductive dimension and they argue that this has created another type inequality.  The inequalities in teachers` pay, as it will be found in this paper, have been hypothesized with inequalities used as a measure in pension and finance system.</w:t>
      </w:r>
    </w:p>
    <w:p w:rsidR="007B6517" w:rsidRDefault="007B6517" w:rsidP="007B6517">
      <w:r>
        <w:t xml:space="preserve">A heavily cited data from American community survey shown that salary inequality among the teachers in the public school is at a level lower when compared with other professions. Moreover, these salary inequalities are hardly based on gender or ethnicity dimension but display a level of salary inequalities being higher based on the years of experience, the credentials, and </w:t>
      </w:r>
      <w:r>
        <w:lastRenderedPageBreak/>
        <w:t xml:space="preserve">geographical location.  It is surprising to find that the difference in pay for the teacher in states was very high. This inequality accounted for about twenty percent of all the inequalities reported national wide across all the public schools. This survey report suggests that state practices and policies are very influential towards compensation among the government employees compared to other cases of the service-oriented profession. </w:t>
      </w:r>
    </w:p>
    <w:p w:rsidR="007B6517" w:rsidRDefault="007B6517" w:rsidP="007B6517">
      <w:r>
        <w:t xml:space="preserve">State level inequalities in wages vary significantly across the states. The variations do not occur systematically. Some states with high salary and wages for teachers enjoy the greater industrial strength and the enormous influence of the union while others do not possess such. Teachers everywhere beg for a more holistic solution. It is not wise to consider changes in the dimensions stated above without putting into consideration the relationship that exists between them. Further and comprehensive research on these dimensions should be carried out in a more holistic manner now to find an agreeable solution. </w:t>
      </w:r>
    </w:p>
    <w:p w:rsidR="007B6517" w:rsidRDefault="007B6517" w:rsidP="007B6517">
      <w:r>
        <w:t>Defining the policy issue</w:t>
      </w:r>
    </w:p>
    <w:p w:rsidR="007B6517" w:rsidRDefault="007B6517" w:rsidP="007B6517">
      <w:r>
        <w:t xml:space="preserve">It is no doubt that teachers are base for education improvement as well as refining the quality of the workforce in the education sector. Scholars for ages have proved that an excellent teacher is fundamental for every student especially those located in poverty. An excellent teacher is a valuable as opposed to an average teacher and it can make a lot of difference in a year in students learning. </w:t>
      </w:r>
    </w:p>
    <w:p w:rsidR="007B6517" w:rsidRDefault="007B6517" w:rsidP="007B6517">
      <w:r>
        <w:t xml:space="preserve">Schools in the state spend more on the teacher`s payment than on anything else.  However, the manner in which money is spent on pay is not in a way that can improve the distribution of teaching workforce, performance or the quality of teachers. It is dawned on everyone that the current model of teacher`s payment does very little in retaining or attracting most effective </w:t>
      </w:r>
      <w:r>
        <w:lastRenderedPageBreak/>
        <w:t xml:space="preserve">teachers, especially in the poverty schools. Alternative payment methods have met resurgence in the past years since the district policymakers agree that a single salary mode is not enough. </w:t>
      </w:r>
    </w:p>
    <w:p w:rsidR="007B6517" w:rsidRDefault="007B6517" w:rsidP="007B6517">
      <w:r>
        <w:t xml:space="preserve">Performance pay is the central debate in the current discussion on how federal policy can be used to improve quality and distribution of teaching workforce especially now that the Congress is working to reauthorize secondary and elementary education act. Those who criticize the current salary strategy argue that it is unfair to teachers; it is based on test score and hardly </w:t>
      </w:r>
      <w:proofErr w:type="gramStart"/>
      <w:r>
        <w:t>do</w:t>
      </w:r>
      <w:proofErr w:type="gramEnd"/>
      <w:r>
        <w:t xml:space="preserve"> anything to improve the effectiveness of a teacher. On the other hand, proponents hold that it serves to motivate teachers consequently retaining and attracting effective candidates. They press that if this mode of payment were used in other professions, it would improve the overall output.  Among many other things, this paper will serve to answer the following questions;</w:t>
      </w:r>
    </w:p>
    <w:p w:rsidR="007B6517" w:rsidRDefault="007B6517" w:rsidP="007B6517">
      <w:r>
        <w:t>Is this current program made in a manner that t heavily relies on the test score?</w:t>
      </w:r>
    </w:p>
    <w:p w:rsidR="007B6517" w:rsidRDefault="007B6517" w:rsidP="007B6517">
      <w:r>
        <w:t>How effectively are the teachers evaluated within the current program?</w:t>
      </w:r>
    </w:p>
    <w:p w:rsidR="007B6517" w:rsidRDefault="007B6517" w:rsidP="007B6517">
      <w:r>
        <w:t>Are there other strategies integrated within the current performance pay program that serve to influence teacher`s performance and skills?</w:t>
      </w:r>
    </w:p>
    <w:p w:rsidR="007B6517" w:rsidRDefault="007B6517" w:rsidP="007B6517">
      <w:r>
        <w:t>Current status</w:t>
      </w:r>
    </w:p>
    <w:p w:rsidR="007B6517" w:rsidRDefault="007B6517" w:rsidP="007B6517">
      <w:r>
        <w:t xml:space="preserve">Today, there are about five types of differential pay policies. These differential pay policies are; pay for performance policy, pay for skills and knowledge, career ladders, payment for training in subject areas considered high need and payment for training in schools regarded as high need. </w:t>
      </w:r>
    </w:p>
    <w:p w:rsidR="007B6517" w:rsidRDefault="007B6517" w:rsidP="007B6517">
      <w:r>
        <w:t xml:space="preserve">A study, one that was widely cited demonstrated that when more money was spent on schools, it resulted in better secondary school among the pupils and higher salaries for their teachers as well. The study also suggested that spending part of the money in increasing the payment for the </w:t>
      </w:r>
      <w:r>
        <w:lastRenderedPageBreak/>
        <w:t xml:space="preserve">teachers was a wise move. It has also been reviewed from extensive researched that increasing the teachers’ pay by any given percentage, it had a corresponding significant decrease in a number of dropouts. In fact, when the teachers are paid about $ 20,000 bonuses so that they can transfer schools in the poverty region, led to increased education level in the community.  </w:t>
      </w:r>
    </w:p>
    <w:p w:rsidR="007B6517" w:rsidRDefault="007B6517" w:rsidP="007B6517">
      <w:r>
        <w:t xml:space="preserve">A study released by the economic policy Institute has recently shown that what teachers receive as payment has fallen when compared to other professions. This is ironclad evidence that policymakers are hardly doing enough to keep teachers motivated and to ensure that young students are inspired to become teachers. In an interview conducted among former teacher cited money to be among the many reasons they left classes for greener pastures. This means that other money working conditions have to be improved significantly. </w:t>
      </w:r>
    </w:p>
    <w:p w:rsidR="007B6517" w:rsidRDefault="007B6517" w:rsidP="007B6517">
      <w:r>
        <w:t xml:space="preserve">It may not require a lot of money to keep teachers in class and well-motivated, the even small bonus can work miracles. When the teachers are well motivated, they will have managed to have higher output in terms of better performance among the students. Salaries do of course matter a very great deal. However, very little is on how to use policies to improve then even though it is straightforward to implement. </w:t>
      </w:r>
    </w:p>
    <w:p w:rsidR="007B6517" w:rsidRDefault="007B6517" w:rsidP="007B6517">
      <w:r>
        <w:t xml:space="preserve">In North Carolina, teachers` turnover was reduced significantly by having a special education, math, and science teachers in poverty schools' bonuses. It turned out however that the teachers were not aware of that program so their estimates understated the value the program had. This paper is just a scratch on the surface of the research that exists on the relationship between the students` outcome, teacher retention and pays. Among the many things that policymakers should discuss when it comes to teachers pay is how to distribute compensation. Some people feel that compensation should be based on performance. </w:t>
      </w:r>
    </w:p>
    <w:p w:rsidR="007B6517" w:rsidRDefault="007B6517" w:rsidP="007B6517">
      <w:r>
        <w:lastRenderedPageBreak/>
        <w:t xml:space="preserve">From policymakers` perspective, teachers are not paid enough if the payment is to serve a motivation towards better performance among the students. Having the payments for teachers improved, it will improve the quality of teachers since it will entice better candidates to choose teaching profession. Salary increment, as shown in many studies, would help motivate the teachers to up their efforts towards better performance in the classroom and lastly high-quality teachers would choose to remain in the profession.  </w:t>
      </w:r>
    </w:p>
    <w:p w:rsidR="007B6517" w:rsidRDefault="007B6517" w:rsidP="007B6517">
      <w:r>
        <w:t xml:space="preserve">Some policymakers argue that how much a teacher earns does not influence how many times they work for long hours or even what their students learn. In fact, they continue to press that what teachers receive as payment should be based on the number of advanced degrees </w:t>
      </w:r>
      <w:proofErr w:type="gramStart"/>
      <w:r>
        <w:t>he</w:t>
      </w:r>
      <w:proofErr w:type="gramEnd"/>
      <w:r>
        <w:t xml:space="preserve"> or she holder and the numbers of years of experience. Research findings, on the other hand, fail to see how some advanced degrees or years of experience contribute to the teachers` effectiveness. Teacher`s effectiveness cannot be improved by increasing the teachers` salaries because they have added an advanced degree or they have stuck around the school for another year. </w:t>
      </w:r>
    </w:p>
    <w:p w:rsidR="007B6517" w:rsidRDefault="007B6517" w:rsidP="007B6517">
      <w:r>
        <w:t xml:space="preserve">Some state bodies such as Center for America Progress are </w:t>
      </w:r>
      <w:proofErr w:type="spellStart"/>
      <w:r>
        <w:t>n</w:t>
      </w:r>
      <w:proofErr w:type="spellEnd"/>
      <w:r>
        <w:t xml:space="preserve"> support of paying teachers based on the dimensions stated earlier; the number of years of experience and the level of education of the teacher along with the teacher's ability to improve students' performance. Center for America Progress argues that this type of payment differential has potential to influence the quality of the teacher, ensure an equitable distribution of quality teachers and address the issue of teachers' shortage in the country. Teachers play a very important part in the lives of students. In fact, teachers tend to spend more than 80% of students` day. Studies undertaken have proved that teachers play an important role in students’ performance as the parents do. Parents have a very </w:t>
      </w:r>
      <w:r>
        <w:lastRenderedPageBreak/>
        <w:t xml:space="preserve">small influence on the students` outcome. This therefore should make the difference on how the teachers are paid. </w:t>
      </w:r>
    </w:p>
    <w:p w:rsidR="007B6517" w:rsidRDefault="007B6517" w:rsidP="007B6517">
      <w:r>
        <w:t xml:space="preserve">Until recently, policies made paid very little attention on the productivity of students and schools as whole.  All attention has been directed at the test scores and how to improve it.  The statement from policy makers and teachers for a very long time has been “we have to spend more since the performance is flat”.  This is a contract to the health care where the statement from policymakers “the health have improve and therefore we need to spend less.” </w:t>
      </w:r>
    </w:p>
    <w:p w:rsidR="007B6517" w:rsidRDefault="007B6517" w:rsidP="007B6517"/>
    <w:p w:rsidR="007B6517" w:rsidRPr="00642DAD" w:rsidRDefault="007B6517" w:rsidP="007B6517">
      <w:r>
        <w:t xml:space="preserve">Obviously, higher pay for teachers should entice teachers to remain in the teaching profession. However, increasing the pay will attract and retain both high quality teachers and bad teachers as well.  For this reason, if the salaries for teachers are increased across the board without putting into consideration the teachers output in class will not influence the teaching workforce.  This simply means that if salaries are increased without addressing the system on which they are based, will not be a long term solution for the current problem in the education sector.  It would be, however, very constructive to address the counter productive and old compensation system for teachers in public school. Once addressed, the effective teachers can then receive higher pay compared to the unproductive ones; this way speaking of an improved compensation system for teachers will make more sense. </w:t>
      </w:r>
    </w:p>
    <w:p w:rsidR="007B6517" w:rsidRPr="00642DAD" w:rsidRDefault="007B6517" w:rsidP="007B6517">
      <w:r w:rsidRPr="00642DAD">
        <w:t xml:space="preserve">The discussion about increasing the teachers’ pay and restructuring the mode of payment keep on coming up all the times.  The current system can be traced back to around the year 1920. In the next almost one hundred years, there is very little that have changed in almost all districts.  Despite the pressure from the unions about changing the teachers’ pay, it has not been agreed on </w:t>
      </w:r>
      <w:r w:rsidRPr="00642DAD">
        <w:lastRenderedPageBreak/>
        <w:t xml:space="preserve">how it should look like eventually.  As stated earlier, proponents of pay for performance hold that this system holistically wards the teachers based on how their students` perform appears at the end of the year.   Many who do not support this say that this method of compensating teachers is full of flaws.  They continue to argue that this method of evaluation may not be able to reflect effective teaching work force.  According to them, increasing the teachers` compensation based on this approach is imperfect and unfair as well. </w:t>
      </w:r>
    </w:p>
    <w:p w:rsidR="007B6517" w:rsidRPr="00642DAD" w:rsidRDefault="007B6517" w:rsidP="007B6517"/>
    <w:p w:rsidR="007B6517" w:rsidRDefault="007B6517" w:rsidP="007B6517"/>
    <w:p w:rsidR="007B6517" w:rsidRDefault="007B6517" w:rsidP="007B6517">
      <w:r>
        <w:t>Recommendations for a state policy</w:t>
      </w:r>
    </w:p>
    <w:p w:rsidR="007B6517" w:rsidRDefault="007B6517" w:rsidP="007B6517">
      <w:r>
        <w:t>While it is insufficient to conclusively identify the key points of a successful payment program, there is clear evidence from practice, policy, and research about rudiments that will influence policies in the districts. Programs that have faced minimum opposition are that have involved teachers in making state application. As a matter of fact, participation is supposed to be voluntary so as to ensure implementation support.  To effectively develop a successful way of influencing the quality of the workforce, district policymakers should come up with statewide policies that are inclusive of all rudiments that practice and research indicate are essential for enhancing high-quality teaching practices. Practitioners, researchers and district policy maker tend to agree that embracing single salary schedule would be ineffective in influencing teaching workforce. It is recommended that the state policy should allow the district to try out the alternative to this mode of payment. It is a common believe if the districts would set significant bonuses, they would effectively retain and attract teachers in poverty schools.</w:t>
      </w:r>
      <w:r w:rsidRPr="00E22B91">
        <w:t xml:space="preserve"> </w:t>
      </w:r>
    </w:p>
    <w:p w:rsidR="007B6517" w:rsidRDefault="007B6517" w:rsidP="007B6517">
      <w:r>
        <w:lastRenderedPageBreak/>
        <w:t xml:space="preserve">This debate as it has appeared for a very long time, it is not like to come to an end unless the stake holders agree to look for a solution once and for all. It does not have to be perfect but if they adopt a new system of compensating teachers and it does not work, they can always drop it and go back to the old system. </w:t>
      </w:r>
    </w:p>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Default="007B6517" w:rsidP="007B6517"/>
    <w:p w:rsidR="007B6517" w:rsidRPr="00E1035D" w:rsidRDefault="007B6517" w:rsidP="007B6517">
      <w:pPr>
        <w:jc w:val="center"/>
      </w:pPr>
      <w:r w:rsidRPr="00E1035D">
        <w:lastRenderedPageBreak/>
        <w:t>References</w:t>
      </w:r>
    </w:p>
    <w:p w:rsidR="007B6517" w:rsidRPr="00E1035D" w:rsidRDefault="007B6517" w:rsidP="007B6517">
      <w:pPr>
        <w:rPr>
          <w:color w:val="000000"/>
          <w:shd w:val="clear" w:color="auto" w:fill="FFFFFF"/>
        </w:rPr>
      </w:pPr>
      <w:proofErr w:type="spellStart"/>
      <w:proofErr w:type="gramStart"/>
      <w:r w:rsidRPr="00E1035D">
        <w:rPr>
          <w:color w:val="000000"/>
          <w:shd w:val="clear" w:color="auto" w:fill="FFFFFF"/>
        </w:rPr>
        <w:t>Bruns</w:t>
      </w:r>
      <w:proofErr w:type="spellEnd"/>
      <w:r w:rsidRPr="00E1035D">
        <w:rPr>
          <w:color w:val="000000"/>
          <w:shd w:val="clear" w:color="auto" w:fill="FFFFFF"/>
        </w:rPr>
        <w:t xml:space="preserve">, B., &amp; </w:t>
      </w:r>
      <w:proofErr w:type="spellStart"/>
      <w:r w:rsidRPr="00E1035D">
        <w:rPr>
          <w:color w:val="000000"/>
          <w:shd w:val="clear" w:color="auto" w:fill="FFFFFF"/>
        </w:rPr>
        <w:t>Luque</w:t>
      </w:r>
      <w:proofErr w:type="spellEnd"/>
      <w:r w:rsidRPr="00E1035D">
        <w:rPr>
          <w:color w:val="000000"/>
          <w:shd w:val="clear" w:color="auto" w:fill="FFFFFF"/>
        </w:rPr>
        <w:t>, J. A. (2014).</w:t>
      </w:r>
      <w:proofErr w:type="gramEnd"/>
      <w:r w:rsidRPr="00E1035D">
        <w:rPr>
          <w:color w:val="000000"/>
          <w:shd w:val="clear" w:color="auto" w:fill="FFFFFF"/>
        </w:rPr>
        <w:t> </w:t>
      </w:r>
      <w:r w:rsidRPr="00E1035D">
        <w:rPr>
          <w:i/>
          <w:iCs/>
          <w:color w:val="000000"/>
          <w:shd w:val="clear" w:color="auto" w:fill="FFFFFF"/>
        </w:rPr>
        <w:t>Great teachers: How to raise student learning in Latin America and the Caribbean</w:t>
      </w:r>
      <w:r w:rsidRPr="00E1035D">
        <w:rPr>
          <w:color w:val="000000"/>
          <w:shd w:val="clear" w:color="auto" w:fill="FFFFFF"/>
        </w:rPr>
        <w:t>.</w:t>
      </w:r>
    </w:p>
    <w:p w:rsidR="007B6517" w:rsidRPr="00E1035D" w:rsidRDefault="007B6517" w:rsidP="007B6517">
      <w:pPr>
        <w:rPr>
          <w:color w:val="000000"/>
          <w:shd w:val="clear" w:color="auto" w:fill="FFFFFF"/>
        </w:rPr>
      </w:pPr>
      <w:proofErr w:type="gramStart"/>
      <w:r w:rsidRPr="00E1035D">
        <w:rPr>
          <w:color w:val="000000"/>
          <w:shd w:val="clear" w:color="auto" w:fill="FFFFFF"/>
        </w:rPr>
        <w:t>Cochran-Smith, M., &amp; American Association of Colleges for Teacher Education.</w:t>
      </w:r>
      <w:proofErr w:type="gramEnd"/>
      <w:r w:rsidRPr="00E1035D">
        <w:rPr>
          <w:color w:val="000000"/>
          <w:shd w:val="clear" w:color="auto" w:fill="FFFFFF"/>
        </w:rPr>
        <w:t xml:space="preserve"> (2006). </w:t>
      </w:r>
      <w:r w:rsidRPr="00E1035D">
        <w:rPr>
          <w:i/>
          <w:iCs/>
          <w:color w:val="000000"/>
          <w:shd w:val="clear" w:color="auto" w:fill="FFFFFF"/>
        </w:rPr>
        <w:t>Policy, practice, and politics in teacher education: Editorials from the Journal of teacher education</w:t>
      </w:r>
      <w:r w:rsidRPr="00E1035D">
        <w:rPr>
          <w:color w:val="000000"/>
          <w:shd w:val="clear" w:color="auto" w:fill="FFFFFF"/>
        </w:rPr>
        <w:t xml:space="preserve">. Thousand Oaks, </w:t>
      </w:r>
      <w:proofErr w:type="spellStart"/>
      <w:r w:rsidRPr="00E1035D">
        <w:rPr>
          <w:color w:val="000000"/>
          <w:shd w:val="clear" w:color="auto" w:fill="FFFFFF"/>
        </w:rPr>
        <w:t>Calif</w:t>
      </w:r>
      <w:proofErr w:type="spellEnd"/>
      <w:r w:rsidRPr="00E1035D">
        <w:rPr>
          <w:color w:val="000000"/>
          <w:shd w:val="clear" w:color="auto" w:fill="FFFFFF"/>
        </w:rPr>
        <w:t>: Corwin Press.</w:t>
      </w:r>
    </w:p>
    <w:p w:rsidR="007B6517" w:rsidRPr="00E1035D" w:rsidRDefault="007B6517" w:rsidP="007B6517">
      <w:pPr>
        <w:rPr>
          <w:color w:val="000000"/>
          <w:shd w:val="clear" w:color="auto" w:fill="FFFFFF"/>
        </w:rPr>
      </w:pPr>
      <w:proofErr w:type="spellStart"/>
      <w:r w:rsidRPr="00E1035D">
        <w:rPr>
          <w:color w:val="000000"/>
          <w:shd w:val="clear" w:color="auto" w:fill="FFFFFF"/>
        </w:rPr>
        <w:t>Sundquist</w:t>
      </w:r>
      <w:proofErr w:type="spellEnd"/>
      <w:r w:rsidRPr="00E1035D">
        <w:rPr>
          <w:color w:val="000000"/>
          <w:shd w:val="clear" w:color="auto" w:fill="FFFFFF"/>
        </w:rPr>
        <w:t>, J. L. (1969). </w:t>
      </w:r>
      <w:proofErr w:type="gramStart"/>
      <w:r w:rsidRPr="00E1035D">
        <w:rPr>
          <w:i/>
          <w:iCs/>
          <w:color w:val="000000"/>
          <w:shd w:val="clear" w:color="auto" w:fill="FFFFFF"/>
        </w:rPr>
        <w:t>Politics and policy</w:t>
      </w:r>
      <w:r w:rsidRPr="00E1035D">
        <w:rPr>
          <w:color w:val="000000"/>
          <w:shd w:val="clear" w:color="auto" w:fill="FFFFFF"/>
        </w:rPr>
        <w:t>.</w:t>
      </w:r>
      <w:proofErr w:type="gramEnd"/>
    </w:p>
    <w:p w:rsidR="007B6517" w:rsidRPr="00875519" w:rsidRDefault="007B6517" w:rsidP="007B6517">
      <w:pPr>
        <w:shd w:val="clear" w:color="auto" w:fill="FFFFFF"/>
        <w:ind w:hanging="330"/>
        <w:rPr>
          <w:rFonts w:eastAsia="Times New Roman"/>
          <w:color w:val="323232"/>
        </w:rPr>
      </w:pPr>
      <w:proofErr w:type="spellStart"/>
      <w:r w:rsidRPr="00875519">
        <w:rPr>
          <w:rFonts w:eastAsia="Times New Roman"/>
          <w:color w:val="323232"/>
        </w:rPr>
        <w:t>Gormley-Heenan</w:t>
      </w:r>
      <w:proofErr w:type="spellEnd"/>
      <w:r w:rsidRPr="00875519">
        <w:rPr>
          <w:rFonts w:eastAsia="Times New Roman"/>
          <w:color w:val="323232"/>
        </w:rPr>
        <w:t>, C. (</w:t>
      </w:r>
      <w:proofErr w:type="spellStart"/>
      <w:r w:rsidRPr="00875519">
        <w:rPr>
          <w:rFonts w:eastAsia="Times New Roman"/>
          <w:color w:val="323232"/>
        </w:rPr>
        <w:t>n.d.</w:t>
      </w:r>
      <w:proofErr w:type="spellEnd"/>
      <w:r w:rsidRPr="00875519">
        <w:rPr>
          <w:rFonts w:eastAsia="Times New Roman"/>
          <w:color w:val="323232"/>
        </w:rPr>
        <w:t xml:space="preserve">). </w:t>
      </w:r>
      <w:proofErr w:type="gramStart"/>
      <w:r w:rsidRPr="00875519">
        <w:rPr>
          <w:rFonts w:eastAsia="Times New Roman"/>
          <w:color w:val="323232"/>
        </w:rPr>
        <w:t>Teaching Politics and Political Bias.</w:t>
      </w:r>
      <w:proofErr w:type="gramEnd"/>
      <w:r w:rsidRPr="00875519">
        <w:rPr>
          <w:rFonts w:eastAsia="Times New Roman"/>
          <w:color w:val="323232"/>
        </w:rPr>
        <w:t> </w:t>
      </w:r>
      <w:proofErr w:type="gramStart"/>
      <w:r w:rsidRPr="00875519">
        <w:rPr>
          <w:rFonts w:eastAsia="Times New Roman"/>
          <w:i/>
          <w:iCs/>
          <w:color w:val="323232"/>
        </w:rPr>
        <w:t>Teaching Politics and International Relations</w:t>
      </w:r>
      <w:r w:rsidRPr="00875519">
        <w:rPr>
          <w:rFonts w:eastAsia="Times New Roman"/>
          <w:color w:val="323232"/>
        </w:rPr>
        <w:t>.</w:t>
      </w:r>
      <w:proofErr w:type="gramEnd"/>
      <w:r w:rsidRPr="00875519">
        <w:rPr>
          <w:rFonts w:eastAsia="Times New Roman"/>
          <w:color w:val="323232"/>
        </w:rPr>
        <w:t xml:space="preserve"> doi:10.1057/9781137003560.0017</w:t>
      </w:r>
    </w:p>
    <w:p w:rsidR="007B6517" w:rsidRPr="00875519" w:rsidRDefault="007B6517" w:rsidP="007B6517">
      <w:pPr>
        <w:shd w:val="clear" w:color="auto" w:fill="FFFFFF"/>
        <w:ind w:hanging="330"/>
        <w:rPr>
          <w:rFonts w:eastAsia="Times New Roman"/>
          <w:color w:val="323232"/>
        </w:rPr>
      </w:pPr>
      <w:proofErr w:type="spellStart"/>
      <w:r w:rsidRPr="00875519">
        <w:rPr>
          <w:rFonts w:eastAsia="Times New Roman"/>
          <w:color w:val="323232"/>
        </w:rPr>
        <w:t>Leston-Bandeira</w:t>
      </w:r>
      <w:proofErr w:type="spellEnd"/>
      <w:r w:rsidRPr="00875519">
        <w:rPr>
          <w:rFonts w:eastAsia="Times New Roman"/>
          <w:color w:val="323232"/>
        </w:rPr>
        <w:t>, C. (</w:t>
      </w:r>
      <w:proofErr w:type="spellStart"/>
      <w:r w:rsidRPr="00875519">
        <w:rPr>
          <w:rFonts w:eastAsia="Times New Roman"/>
          <w:color w:val="323232"/>
        </w:rPr>
        <w:t>n.d.</w:t>
      </w:r>
      <w:proofErr w:type="spellEnd"/>
      <w:r w:rsidRPr="00875519">
        <w:rPr>
          <w:rFonts w:eastAsia="Times New Roman"/>
          <w:color w:val="323232"/>
        </w:rPr>
        <w:t xml:space="preserve">). </w:t>
      </w:r>
      <w:proofErr w:type="gramStart"/>
      <w:r w:rsidRPr="00875519">
        <w:rPr>
          <w:rFonts w:eastAsia="Times New Roman"/>
          <w:color w:val="323232"/>
        </w:rPr>
        <w:t>Enhancing Politics Teaching through Active Learning.</w:t>
      </w:r>
      <w:proofErr w:type="gramEnd"/>
      <w:r w:rsidRPr="00875519">
        <w:rPr>
          <w:rFonts w:eastAsia="Times New Roman"/>
          <w:color w:val="323232"/>
        </w:rPr>
        <w:t> </w:t>
      </w:r>
      <w:proofErr w:type="gramStart"/>
      <w:r w:rsidRPr="00875519">
        <w:rPr>
          <w:rFonts w:eastAsia="Times New Roman"/>
          <w:i/>
          <w:iCs/>
          <w:color w:val="323232"/>
        </w:rPr>
        <w:t>Teaching Politics and International Relations</w:t>
      </w:r>
      <w:r w:rsidRPr="00875519">
        <w:rPr>
          <w:rFonts w:eastAsia="Times New Roman"/>
          <w:color w:val="323232"/>
        </w:rPr>
        <w:t>.</w:t>
      </w:r>
      <w:proofErr w:type="gramEnd"/>
      <w:r w:rsidRPr="00875519">
        <w:rPr>
          <w:rFonts w:eastAsia="Times New Roman"/>
          <w:color w:val="323232"/>
        </w:rPr>
        <w:t xml:space="preserve"> doi:10.1057/9781137003560.0011</w:t>
      </w:r>
    </w:p>
    <w:p w:rsidR="007B6517" w:rsidRPr="00875519" w:rsidRDefault="007B6517" w:rsidP="007B6517">
      <w:pPr>
        <w:shd w:val="clear" w:color="auto" w:fill="FFFFFF"/>
        <w:ind w:hanging="330"/>
        <w:rPr>
          <w:rFonts w:eastAsia="Times New Roman"/>
          <w:color w:val="323232"/>
        </w:rPr>
      </w:pPr>
      <w:proofErr w:type="gramStart"/>
      <w:r w:rsidRPr="00875519">
        <w:rPr>
          <w:rFonts w:eastAsia="Times New Roman"/>
          <w:color w:val="323232"/>
        </w:rPr>
        <w:t>Moon, J. (1988).</w:t>
      </w:r>
      <w:proofErr w:type="gramEnd"/>
      <w:r w:rsidRPr="00875519">
        <w:rPr>
          <w:rFonts w:eastAsia="Times New Roman"/>
          <w:color w:val="323232"/>
        </w:rPr>
        <w:t xml:space="preserve"> </w:t>
      </w:r>
      <w:proofErr w:type="gramStart"/>
      <w:r w:rsidRPr="00875519">
        <w:rPr>
          <w:rFonts w:eastAsia="Times New Roman"/>
          <w:color w:val="323232"/>
        </w:rPr>
        <w:t>Thinking about Teaching Policy Studies.</w:t>
      </w:r>
      <w:proofErr w:type="gramEnd"/>
      <w:r w:rsidRPr="00875519">
        <w:rPr>
          <w:rFonts w:eastAsia="Times New Roman"/>
          <w:color w:val="323232"/>
        </w:rPr>
        <w:t> </w:t>
      </w:r>
      <w:r w:rsidRPr="00875519">
        <w:rPr>
          <w:rFonts w:eastAsia="Times New Roman"/>
          <w:i/>
          <w:iCs/>
          <w:color w:val="323232"/>
        </w:rPr>
        <w:t>Teaching Public Administration</w:t>
      </w:r>
      <w:proofErr w:type="gramStart"/>
      <w:r w:rsidRPr="00875519">
        <w:rPr>
          <w:rFonts w:eastAsia="Times New Roman"/>
          <w:i/>
          <w:iCs/>
          <w:color w:val="323232"/>
        </w:rPr>
        <w:t>,8</w:t>
      </w:r>
      <w:proofErr w:type="gramEnd"/>
      <w:r w:rsidRPr="00875519">
        <w:rPr>
          <w:rFonts w:eastAsia="Times New Roman"/>
          <w:color w:val="323232"/>
        </w:rPr>
        <w:t xml:space="preserve">(1), 11-20. </w:t>
      </w:r>
      <w:proofErr w:type="gramStart"/>
      <w:r w:rsidRPr="00875519">
        <w:rPr>
          <w:rFonts w:eastAsia="Times New Roman"/>
          <w:color w:val="323232"/>
        </w:rPr>
        <w:t>doi:</w:t>
      </w:r>
      <w:proofErr w:type="gramEnd"/>
      <w:r w:rsidRPr="00875519">
        <w:rPr>
          <w:rFonts w:eastAsia="Times New Roman"/>
          <w:color w:val="323232"/>
        </w:rPr>
        <w:t>10.1177/014473948800800103</w:t>
      </w:r>
    </w:p>
    <w:p w:rsidR="007B6517" w:rsidRPr="00875519" w:rsidRDefault="007B6517" w:rsidP="007B6517">
      <w:pPr>
        <w:shd w:val="clear" w:color="auto" w:fill="FFFFFF"/>
        <w:ind w:hanging="330"/>
        <w:rPr>
          <w:rFonts w:eastAsia="Times New Roman"/>
          <w:color w:val="323232"/>
        </w:rPr>
      </w:pPr>
      <w:r w:rsidRPr="00875519">
        <w:rPr>
          <w:rFonts w:eastAsia="Times New Roman"/>
          <w:color w:val="323232"/>
        </w:rPr>
        <w:t>Welch, P. (2012). Teaching and Learning in Politics: Thinking about Teaching Politics Revisited. </w:t>
      </w:r>
      <w:r w:rsidRPr="00875519">
        <w:rPr>
          <w:rFonts w:eastAsia="Times New Roman"/>
          <w:i/>
          <w:iCs/>
          <w:color w:val="323232"/>
        </w:rPr>
        <w:t>Teaching Politics and International Relations</w:t>
      </w:r>
      <w:proofErr w:type="gramStart"/>
      <w:r w:rsidRPr="00875519">
        <w:rPr>
          <w:rFonts w:eastAsia="Times New Roman"/>
          <w:i/>
          <w:iCs/>
          <w:color w:val="323232"/>
        </w:rPr>
        <w:t>,</w:t>
      </w:r>
      <w:r w:rsidRPr="00875519">
        <w:rPr>
          <w:rFonts w:eastAsia="Times New Roman"/>
          <w:color w:val="323232"/>
        </w:rPr>
        <w:t>9</w:t>
      </w:r>
      <w:proofErr w:type="gramEnd"/>
      <w:r w:rsidRPr="00875519">
        <w:rPr>
          <w:rFonts w:eastAsia="Times New Roman"/>
          <w:color w:val="323232"/>
        </w:rPr>
        <w:t xml:space="preserve">-21. </w:t>
      </w:r>
      <w:proofErr w:type="gramStart"/>
      <w:r w:rsidRPr="00875519">
        <w:rPr>
          <w:rFonts w:eastAsia="Times New Roman"/>
          <w:color w:val="323232"/>
        </w:rPr>
        <w:t>doi:</w:t>
      </w:r>
      <w:proofErr w:type="gramEnd"/>
      <w:r w:rsidRPr="00875519">
        <w:rPr>
          <w:rFonts w:eastAsia="Times New Roman"/>
          <w:color w:val="323232"/>
        </w:rPr>
        <w:t>10.1057/9781137003560_2</w:t>
      </w:r>
    </w:p>
    <w:p w:rsidR="007B6517" w:rsidRPr="00E1035D" w:rsidRDefault="007B6517" w:rsidP="007B6517">
      <w:proofErr w:type="spellStart"/>
      <w:proofErr w:type="gramStart"/>
      <w:r w:rsidRPr="00E1035D">
        <w:rPr>
          <w:color w:val="000000"/>
          <w:shd w:val="clear" w:color="auto" w:fill="FFFFFF"/>
        </w:rPr>
        <w:t>Organisation</w:t>
      </w:r>
      <w:proofErr w:type="spellEnd"/>
      <w:r w:rsidRPr="00E1035D">
        <w:rPr>
          <w:color w:val="000000"/>
          <w:shd w:val="clear" w:color="auto" w:fill="FFFFFF"/>
        </w:rPr>
        <w:t xml:space="preserve"> for Economic Co-operation and Development.</w:t>
      </w:r>
      <w:proofErr w:type="gramEnd"/>
      <w:r w:rsidRPr="00E1035D">
        <w:rPr>
          <w:color w:val="000000"/>
          <w:shd w:val="clear" w:color="auto" w:fill="FFFFFF"/>
        </w:rPr>
        <w:t xml:space="preserve"> (2009). </w:t>
      </w:r>
      <w:r w:rsidRPr="00E1035D">
        <w:rPr>
          <w:i/>
          <w:iCs/>
          <w:color w:val="000000"/>
          <w:shd w:val="clear" w:color="auto" w:fill="FFFFFF"/>
        </w:rPr>
        <w:t>Evaluating and Rewarding the Quality of Teachers: International Practices</w:t>
      </w:r>
      <w:r w:rsidRPr="00E1035D">
        <w:rPr>
          <w:color w:val="000000"/>
          <w:shd w:val="clear" w:color="auto" w:fill="FFFFFF"/>
        </w:rPr>
        <w:t>. Paris: OECD Publishing.</w:t>
      </w:r>
    </w:p>
    <w:p w:rsidR="00DF103F" w:rsidRDefault="00DF103F"/>
    <w:sectPr w:rsidR="00DF103F" w:rsidSect="005A126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895611"/>
      <w:docPartObj>
        <w:docPartGallery w:val="Page Numbers (Top of Page)"/>
        <w:docPartUnique/>
      </w:docPartObj>
    </w:sdtPr>
    <w:sdtEndPr>
      <w:rPr>
        <w:noProof/>
      </w:rPr>
    </w:sdtEndPr>
    <w:sdtContent>
      <w:p w:rsidR="005A1262" w:rsidRDefault="007B6517" w:rsidP="005A1262">
        <w:r>
          <w:t>EDUCATION</w:t>
        </w:r>
        <w:r>
          <w:tab/>
        </w:r>
        <w:r>
          <w:tab/>
        </w:r>
        <w:r>
          <w:tab/>
        </w:r>
        <w:r>
          <w:tab/>
        </w:r>
        <w:r>
          <w:tab/>
        </w:r>
        <w:r>
          <w:tab/>
        </w:r>
        <w:r>
          <w:tab/>
        </w:r>
        <w:r>
          <w:tab/>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5A1262" w:rsidRDefault="007B6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262" w:rsidRDefault="007B6517" w:rsidP="005A1262">
    <w:r>
      <w:t>Running Head:</w:t>
    </w:r>
    <w:r w:rsidRPr="005A1262">
      <w:t xml:space="preserve"> </w:t>
    </w:r>
    <w:r>
      <w:t>EDUCATION</w:t>
    </w:r>
    <w:r>
      <w:t xml:space="preserve">                                                                  </w:t>
    </w:r>
    <w:r>
      <w:t xml:space="preserve">                 </w:t>
    </w:r>
    <w:r>
      <w:t xml:space="preserve"> 1</w:t>
    </w:r>
  </w:p>
  <w:p w:rsidR="005A1262" w:rsidRDefault="007B6517" w:rsidP="005A126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517"/>
    <w:rsid w:val="007B6517"/>
    <w:rsid w:val="00DF1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517"/>
    <w:pPr>
      <w:spacing w:after="16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51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517"/>
    <w:pPr>
      <w:spacing w:after="16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51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2190</Words>
  <Characters>12483</Characters>
  <Application>Microsoft Office Word</Application>
  <DocSecurity>0</DocSecurity>
  <Lines>104</Lines>
  <Paragraphs>29</Paragraphs>
  <ScaleCrop>false</ScaleCrop>
  <Company/>
  <LinksUpToDate>false</LinksUpToDate>
  <CharactersWithSpaces>14644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Cyber7</dc:creator>
  <cp:lastModifiedBy>Cyber7</cp:lastModifiedBy>
  <cp:revision>1</cp:revision>
  <dcterms:created xsi:type="dcterms:W3CDTF">2018-02-09T15:07:00Z</dcterms:created>
  <dcterms:modified xsi:type="dcterms:W3CDTF">2018-02-09T15:08:00Z</dcterms:modified>
</cp:coreProperties>
</file>