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695F2" w14:textId="77777777" w:rsidR="00D504F3" w:rsidRDefault="00D504F3" w:rsidP="00D504F3">
      <w:pPr>
        <w:pStyle w:val="ListParagraph"/>
        <w:numPr>
          <w:ilvl w:val="0"/>
          <w:numId w:val="1"/>
        </w:numPr>
        <w:shd w:val="clear" w:color="auto" w:fill="FFFFFF"/>
        <w:ind w:right="-120"/>
        <w:outlineLvl w:val="2"/>
        <w:rPr>
          <w:rFonts w:asciiTheme="majorBidi" w:hAnsiTheme="majorBidi" w:cstheme="majorBidi"/>
        </w:rPr>
      </w:pPr>
      <w:r w:rsidRPr="00567EDD">
        <w:rPr>
          <w:rFonts w:asciiTheme="majorBidi" w:hAnsiTheme="majorBidi" w:cstheme="majorBidi"/>
        </w:rPr>
        <w:t xml:space="preserve">List four major characteristics of epidemiologic study designs and state in which ways that case control, cross-section study designs differ from one another. </w:t>
      </w:r>
    </w:p>
    <w:p w14:paraId="50BFE151" w14:textId="1E6992A1" w:rsidR="00D504F3" w:rsidRDefault="00D504F3"/>
    <w:p w14:paraId="532AF14B" w14:textId="3177BD0A" w:rsidR="00D504F3" w:rsidRDefault="00D504F3" w:rsidP="00D504F3"/>
    <w:p w14:paraId="22F5C945" w14:textId="77777777" w:rsidR="00D504F3" w:rsidRDefault="00D504F3" w:rsidP="00D504F3">
      <w:pPr>
        <w:tabs>
          <w:tab w:val="left" w:pos="1036"/>
        </w:tabs>
      </w:pPr>
      <w:r>
        <w:tab/>
      </w:r>
    </w:p>
    <w:p w14:paraId="419AA848" w14:textId="05488FB2" w:rsidR="00D504F3" w:rsidRDefault="00D504F3" w:rsidP="00D504F3">
      <w:pPr>
        <w:tabs>
          <w:tab w:val="left" w:pos="1036"/>
        </w:tabs>
      </w:pPr>
      <w:r>
        <w:t>Study design calculation:</w:t>
      </w:r>
    </w:p>
    <w:p w14:paraId="7FA48DF5" w14:textId="77777777" w:rsidR="00D504F3" w:rsidRDefault="00D504F3" w:rsidP="00D504F3">
      <w:pPr>
        <w:tabs>
          <w:tab w:val="left" w:pos="1036"/>
        </w:tabs>
      </w:pPr>
    </w:p>
    <w:p w14:paraId="599BE699" w14:textId="6536BAAE" w:rsidR="00D504F3" w:rsidRDefault="00D504F3" w:rsidP="00D504F3">
      <w:pPr>
        <w:tabs>
          <w:tab w:val="left" w:pos="1036"/>
        </w:tabs>
        <w:rPr>
          <w:rFonts w:asciiTheme="majorBidi" w:eastAsia="Times New Roman" w:hAnsiTheme="majorBidi" w:cstheme="majorBidi"/>
        </w:rPr>
      </w:pPr>
      <w:r>
        <w:t>1-</w:t>
      </w:r>
      <w:r w:rsidRPr="00567EDD">
        <w:rPr>
          <w:rFonts w:asciiTheme="majorBidi" w:eastAsia="Times New Roman" w:hAnsiTheme="majorBidi" w:cstheme="majorBidi"/>
        </w:rPr>
        <w:t>A case-control study was conducted among male veterans under age 60 to evaluate the association smoking, and oral cancer (Rothman &amp; Keller, 1972). Smoking status was the primary exposure variable.</w:t>
      </w:r>
    </w:p>
    <w:p w14:paraId="2B0F97EB" w14:textId="1043E40C" w:rsidR="00D504F3" w:rsidRPr="00D504F3" w:rsidRDefault="00D504F3" w:rsidP="00D504F3"/>
    <w:p w14:paraId="17905363" w14:textId="16DBCB31" w:rsidR="00D504F3" w:rsidRPr="00D504F3" w:rsidRDefault="00D504F3" w:rsidP="00D504F3"/>
    <w:p w14:paraId="4A9928AF" w14:textId="77777777" w:rsidR="00D504F3" w:rsidRPr="00D504F3" w:rsidRDefault="00D504F3" w:rsidP="00D504F3">
      <w:pPr>
        <w:tabs>
          <w:tab w:val="left" w:pos="2627"/>
        </w:tabs>
      </w:pPr>
      <w:r>
        <w:tab/>
      </w:r>
    </w:p>
    <w:tbl>
      <w:tblPr>
        <w:tblW w:w="6367"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590"/>
        <w:gridCol w:w="1590"/>
        <w:gridCol w:w="1590"/>
        <w:gridCol w:w="1597"/>
      </w:tblGrid>
      <w:tr w:rsidR="00D504F3" w:rsidRPr="00567EDD" w14:paraId="38D28D5B" w14:textId="77777777" w:rsidTr="009D336E">
        <w:trPr>
          <w:trHeight w:val="508"/>
          <w:tblHeader/>
          <w:tblCellSpacing w:w="15" w:type="dxa"/>
        </w:trPr>
        <w:tc>
          <w:tcPr>
            <w:tcW w:w="1545" w:type="dxa"/>
            <w:tcBorders>
              <w:top w:val="outset" w:sz="6" w:space="0" w:color="auto"/>
              <w:left w:val="outset" w:sz="6" w:space="0" w:color="auto"/>
              <w:bottom w:val="outset" w:sz="6" w:space="0" w:color="auto"/>
              <w:right w:val="outset" w:sz="6" w:space="0" w:color="auto"/>
            </w:tcBorders>
            <w:vAlign w:val="center"/>
            <w:hideMark/>
          </w:tcPr>
          <w:p w14:paraId="70BA9737"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Smoker</w:t>
            </w:r>
          </w:p>
        </w:tc>
        <w:tc>
          <w:tcPr>
            <w:tcW w:w="1560" w:type="dxa"/>
            <w:tcBorders>
              <w:top w:val="outset" w:sz="6" w:space="0" w:color="auto"/>
              <w:left w:val="outset" w:sz="6" w:space="0" w:color="auto"/>
              <w:bottom w:val="outset" w:sz="6" w:space="0" w:color="auto"/>
              <w:right w:val="outset" w:sz="6" w:space="0" w:color="auto"/>
            </w:tcBorders>
            <w:vAlign w:val="center"/>
            <w:hideMark/>
          </w:tcPr>
          <w:p w14:paraId="41480A6C"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Cases</w:t>
            </w:r>
          </w:p>
        </w:tc>
        <w:tc>
          <w:tcPr>
            <w:tcW w:w="1560" w:type="dxa"/>
            <w:tcBorders>
              <w:top w:val="outset" w:sz="6" w:space="0" w:color="auto"/>
              <w:left w:val="outset" w:sz="6" w:space="0" w:color="auto"/>
              <w:bottom w:val="outset" w:sz="6" w:space="0" w:color="auto"/>
              <w:right w:val="outset" w:sz="6" w:space="0" w:color="auto"/>
            </w:tcBorders>
            <w:vAlign w:val="center"/>
            <w:hideMark/>
          </w:tcPr>
          <w:p w14:paraId="03C4AB61"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 xml:space="preserve">Controls  </w:t>
            </w:r>
          </w:p>
        </w:tc>
        <w:tc>
          <w:tcPr>
            <w:tcW w:w="1552" w:type="dxa"/>
            <w:tcBorders>
              <w:top w:val="outset" w:sz="6" w:space="0" w:color="auto"/>
              <w:left w:val="outset" w:sz="6" w:space="0" w:color="auto"/>
              <w:bottom w:val="outset" w:sz="6" w:space="0" w:color="auto"/>
              <w:right w:val="outset" w:sz="6" w:space="0" w:color="auto"/>
            </w:tcBorders>
            <w:vAlign w:val="center"/>
            <w:hideMark/>
          </w:tcPr>
          <w:p w14:paraId="2AEF490F"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Total</w:t>
            </w:r>
          </w:p>
        </w:tc>
      </w:tr>
      <w:tr w:rsidR="00D504F3" w:rsidRPr="00567EDD" w14:paraId="1C5502CF" w14:textId="77777777" w:rsidTr="009D336E">
        <w:trPr>
          <w:trHeight w:val="508"/>
          <w:tblCellSpacing w:w="15" w:type="dxa"/>
        </w:trPr>
        <w:tc>
          <w:tcPr>
            <w:tcW w:w="1545" w:type="dxa"/>
            <w:tcBorders>
              <w:top w:val="outset" w:sz="6" w:space="0" w:color="auto"/>
              <w:left w:val="outset" w:sz="6" w:space="0" w:color="auto"/>
              <w:bottom w:val="outset" w:sz="6" w:space="0" w:color="auto"/>
              <w:right w:val="outset" w:sz="6" w:space="0" w:color="auto"/>
            </w:tcBorders>
            <w:vAlign w:val="center"/>
            <w:hideMark/>
          </w:tcPr>
          <w:p w14:paraId="0085ABC9"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Yes</w:t>
            </w:r>
          </w:p>
        </w:tc>
        <w:tc>
          <w:tcPr>
            <w:tcW w:w="1560" w:type="dxa"/>
            <w:tcBorders>
              <w:top w:val="outset" w:sz="6" w:space="0" w:color="auto"/>
              <w:left w:val="outset" w:sz="6" w:space="0" w:color="auto"/>
              <w:bottom w:val="outset" w:sz="6" w:space="0" w:color="auto"/>
              <w:right w:val="outset" w:sz="6" w:space="0" w:color="auto"/>
            </w:tcBorders>
            <w:vAlign w:val="center"/>
            <w:hideMark/>
          </w:tcPr>
          <w:p w14:paraId="231BFBB0"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233</w:t>
            </w:r>
          </w:p>
        </w:tc>
        <w:tc>
          <w:tcPr>
            <w:tcW w:w="1560" w:type="dxa"/>
            <w:tcBorders>
              <w:top w:val="outset" w:sz="6" w:space="0" w:color="auto"/>
              <w:left w:val="outset" w:sz="6" w:space="0" w:color="auto"/>
              <w:bottom w:val="outset" w:sz="6" w:space="0" w:color="auto"/>
              <w:right w:val="outset" w:sz="6" w:space="0" w:color="auto"/>
            </w:tcBorders>
            <w:vAlign w:val="center"/>
            <w:hideMark/>
          </w:tcPr>
          <w:p w14:paraId="0393553A"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184</w:t>
            </w:r>
          </w:p>
        </w:tc>
        <w:tc>
          <w:tcPr>
            <w:tcW w:w="1552" w:type="dxa"/>
            <w:tcBorders>
              <w:top w:val="outset" w:sz="6" w:space="0" w:color="auto"/>
              <w:left w:val="outset" w:sz="6" w:space="0" w:color="auto"/>
              <w:bottom w:val="outset" w:sz="6" w:space="0" w:color="auto"/>
              <w:right w:val="outset" w:sz="6" w:space="0" w:color="auto"/>
            </w:tcBorders>
            <w:vAlign w:val="center"/>
            <w:hideMark/>
          </w:tcPr>
          <w:p w14:paraId="46393938"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417</w:t>
            </w:r>
          </w:p>
        </w:tc>
      </w:tr>
      <w:tr w:rsidR="00D504F3" w:rsidRPr="00567EDD" w14:paraId="27886D91" w14:textId="77777777" w:rsidTr="009D336E">
        <w:trPr>
          <w:trHeight w:val="508"/>
          <w:tblCellSpacing w:w="15" w:type="dxa"/>
        </w:trPr>
        <w:tc>
          <w:tcPr>
            <w:tcW w:w="1545" w:type="dxa"/>
            <w:tcBorders>
              <w:top w:val="outset" w:sz="6" w:space="0" w:color="auto"/>
              <w:left w:val="outset" w:sz="6" w:space="0" w:color="auto"/>
              <w:bottom w:val="outset" w:sz="6" w:space="0" w:color="auto"/>
              <w:right w:val="outset" w:sz="6" w:space="0" w:color="auto"/>
            </w:tcBorders>
            <w:vAlign w:val="center"/>
            <w:hideMark/>
          </w:tcPr>
          <w:p w14:paraId="045978C0"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No</w:t>
            </w:r>
          </w:p>
        </w:tc>
        <w:tc>
          <w:tcPr>
            <w:tcW w:w="1560" w:type="dxa"/>
            <w:tcBorders>
              <w:top w:val="outset" w:sz="6" w:space="0" w:color="auto"/>
              <w:left w:val="outset" w:sz="6" w:space="0" w:color="auto"/>
              <w:bottom w:val="outset" w:sz="6" w:space="0" w:color="auto"/>
              <w:right w:val="outset" w:sz="6" w:space="0" w:color="auto"/>
            </w:tcBorders>
            <w:vAlign w:val="center"/>
            <w:hideMark/>
          </w:tcPr>
          <w:p w14:paraId="7779FE0B"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9</w:t>
            </w:r>
          </w:p>
        </w:tc>
        <w:tc>
          <w:tcPr>
            <w:tcW w:w="1560" w:type="dxa"/>
            <w:tcBorders>
              <w:top w:val="outset" w:sz="6" w:space="0" w:color="auto"/>
              <w:left w:val="outset" w:sz="6" w:space="0" w:color="auto"/>
              <w:bottom w:val="outset" w:sz="6" w:space="0" w:color="auto"/>
              <w:right w:val="outset" w:sz="6" w:space="0" w:color="auto"/>
            </w:tcBorders>
            <w:vAlign w:val="center"/>
            <w:hideMark/>
          </w:tcPr>
          <w:p w14:paraId="1E13D0DA"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32</w:t>
            </w:r>
          </w:p>
        </w:tc>
        <w:tc>
          <w:tcPr>
            <w:tcW w:w="1552" w:type="dxa"/>
            <w:tcBorders>
              <w:top w:val="outset" w:sz="6" w:space="0" w:color="auto"/>
              <w:left w:val="outset" w:sz="6" w:space="0" w:color="auto"/>
              <w:bottom w:val="outset" w:sz="6" w:space="0" w:color="auto"/>
              <w:right w:val="outset" w:sz="6" w:space="0" w:color="auto"/>
            </w:tcBorders>
            <w:vAlign w:val="center"/>
            <w:hideMark/>
          </w:tcPr>
          <w:p w14:paraId="7940018D"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41</w:t>
            </w:r>
          </w:p>
        </w:tc>
      </w:tr>
      <w:tr w:rsidR="00D504F3" w:rsidRPr="00567EDD" w14:paraId="3A07ECB4" w14:textId="77777777" w:rsidTr="009D336E">
        <w:trPr>
          <w:trHeight w:val="508"/>
          <w:tblCellSpacing w:w="15" w:type="dxa"/>
        </w:trPr>
        <w:tc>
          <w:tcPr>
            <w:tcW w:w="1545" w:type="dxa"/>
            <w:tcBorders>
              <w:top w:val="outset" w:sz="6" w:space="0" w:color="auto"/>
              <w:left w:val="outset" w:sz="6" w:space="0" w:color="auto"/>
              <w:bottom w:val="outset" w:sz="6" w:space="0" w:color="auto"/>
              <w:right w:val="outset" w:sz="6" w:space="0" w:color="auto"/>
            </w:tcBorders>
            <w:vAlign w:val="center"/>
            <w:hideMark/>
          </w:tcPr>
          <w:p w14:paraId="37E02A85"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b/>
                <w:bCs/>
                <w:bdr w:val="none" w:sz="0" w:space="0" w:color="auto" w:frame="1"/>
              </w:rPr>
              <w:t>Total</w:t>
            </w:r>
          </w:p>
        </w:tc>
        <w:tc>
          <w:tcPr>
            <w:tcW w:w="1560" w:type="dxa"/>
            <w:tcBorders>
              <w:top w:val="outset" w:sz="6" w:space="0" w:color="auto"/>
              <w:left w:val="outset" w:sz="6" w:space="0" w:color="auto"/>
              <w:bottom w:val="outset" w:sz="6" w:space="0" w:color="auto"/>
              <w:right w:val="outset" w:sz="6" w:space="0" w:color="auto"/>
            </w:tcBorders>
            <w:vAlign w:val="center"/>
            <w:hideMark/>
          </w:tcPr>
          <w:p w14:paraId="2DCBF7CD"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242</w:t>
            </w:r>
          </w:p>
        </w:tc>
        <w:tc>
          <w:tcPr>
            <w:tcW w:w="1560" w:type="dxa"/>
            <w:tcBorders>
              <w:top w:val="outset" w:sz="6" w:space="0" w:color="auto"/>
              <w:left w:val="outset" w:sz="6" w:space="0" w:color="auto"/>
              <w:bottom w:val="outset" w:sz="6" w:space="0" w:color="auto"/>
              <w:right w:val="outset" w:sz="6" w:space="0" w:color="auto"/>
            </w:tcBorders>
            <w:vAlign w:val="center"/>
            <w:hideMark/>
          </w:tcPr>
          <w:p w14:paraId="04EE31E4"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216</w:t>
            </w:r>
          </w:p>
        </w:tc>
        <w:tc>
          <w:tcPr>
            <w:tcW w:w="1552" w:type="dxa"/>
            <w:tcBorders>
              <w:top w:val="outset" w:sz="6" w:space="0" w:color="auto"/>
              <w:left w:val="outset" w:sz="6" w:space="0" w:color="auto"/>
              <w:bottom w:val="outset" w:sz="6" w:space="0" w:color="auto"/>
              <w:right w:val="outset" w:sz="6" w:space="0" w:color="auto"/>
            </w:tcBorders>
            <w:vAlign w:val="center"/>
            <w:hideMark/>
          </w:tcPr>
          <w:p w14:paraId="40FCB711" w14:textId="77777777" w:rsidR="00D504F3" w:rsidRPr="00567EDD" w:rsidRDefault="00D504F3" w:rsidP="009D336E">
            <w:pPr>
              <w:rPr>
                <w:rFonts w:asciiTheme="majorBidi" w:eastAsia="Times New Roman" w:hAnsiTheme="majorBidi" w:cstheme="majorBidi"/>
              </w:rPr>
            </w:pPr>
            <w:r w:rsidRPr="00567EDD">
              <w:rPr>
                <w:rFonts w:asciiTheme="majorBidi" w:eastAsia="Times New Roman" w:hAnsiTheme="majorBidi" w:cstheme="majorBidi"/>
              </w:rPr>
              <w:t>458</w:t>
            </w:r>
          </w:p>
        </w:tc>
      </w:tr>
    </w:tbl>
    <w:p w14:paraId="090EE28F" w14:textId="72EEFB1C" w:rsidR="00D504F3" w:rsidRDefault="00D504F3" w:rsidP="00D504F3">
      <w:pPr>
        <w:tabs>
          <w:tab w:val="left" w:pos="2627"/>
        </w:tabs>
      </w:pPr>
    </w:p>
    <w:p w14:paraId="552459BB" w14:textId="6E933ECF" w:rsidR="00D504F3" w:rsidRDefault="00D504F3" w:rsidP="00D504F3">
      <w:pPr>
        <w:tabs>
          <w:tab w:val="left" w:pos="2627"/>
        </w:tabs>
      </w:pPr>
    </w:p>
    <w:p w14:paraId="4BF497AF" w14:textId="77777777" w:rsidR="00D504F3" w:rsidRPr="00567EDD" w:rsidRDefault="00D504F3" w:rsidP="00D504F3">
      <w:pPr>
        <w:pStyle w:val="ListParagraph"/>
        <w:numPr>
          <w:ilvl w:val="0"/>
          <w:numId w:val="2"/>
        </w:numPr>
        <w:spacing w:after="240"/>
        <w:rPr>
          <w:rFonts w:asciiTheme="majorBidi" w:hAnsiTheme="majorBidi" w:cstheme="majorBidi"/>
        </w:rPr>
      </w:pPr>
      <w:r w:rsidRPr="00567EDD">
        <w:rPr>
          <w:rFonts w:asciiTheme="majorBidi" w:hAnsiTheme="majorBidi" w:cstheme="majorBidi"/>
        </w:rPr>
        <w:t>Calculate percentage of smoker in cases (4 points).  </w:t>
      </w:r>
    </w:p>
    <w:p w14:paraId="3E3A5B88" w14:textId="77777777" w:rsidR="00D504F3" w:rsidRPr="00567EDD" w:rsidRDefault="00D504F3" w:rsidP="00D504F3">
      <w:pPr>
        <w:pStyle w:val="ListParagraph"/>
        <w:numPr>
          <w:ilvl w:val="0"/>
          <w:numId w:val="2"/>
        </w:numPr>
        <w:spacing w:after="240"/>
        <w:rPr>
          <w:rFonts w:asciiTheme="majorBidi" w:hAnsiTheme="majorBidi" w:cstheme="majorBidi"/>
        </w:rPr>
      </w:pPr>
      <w:r w:rsidRPr="00567EDD">
        <w:rPr>
          <w:rFonts w:asciiTheme="majorBidi" w:hAnsiTheme="majorBidi" w:cstheme="majorBidi"/>
        </w:rPr>
        <w:t>Calculate percentage of smoker in controls. (4 points) </w:t>
      </w:r>
    </w:p>
    <w:p w14:paraId="7A266D05" w14:textId="77777777" w:rsidR="00D504F3" w:rsidRPr="00567EDD" w:rsidRDefault="00D504F3" w:rsidP="00D504F3">
      <w:pPr>
        <w:pStyle w:val="ListParagraph"/>
        <w:numPr>
          <w:ilvl w:val="0"/>
          <w:numId w:val="2"/>
        </w:numPr>
        <w:spacing w:after="240"/>
        <w:rPr>
          <w:rFonts w:asciiTheme="majorBidi" w:hAnsiTheme="majorBidi" w:cstheme="majorBidi"/>
        </w:rPr>
      </w:pPr>
      <w:r w:rsidRPr="00567EDD">
        <w:rPr>
          <w:rFonts w:asciiTheme="majorBidi" w:hAnsiTheme="majorBidi" w:cstheme="majorBidi"/>
        </w:rPr>
        <w:t>Compare the two percentage, and summarize your finding based on the comparison. (2 points)</w:t>
      </w:r>
    </w:p>
    <w:p w14:paraId="7FA93B1B" w14:textId="3BF71D8C" w:rsidR="00D504F3" w:rsidRPr="00D504F3" w:rsidRDefault="00D504F3" w:rsidP="00D504F3">
      <w:pPr>
        <w:pStyle w:val="ListParagraph"/>
        <w:numPr>
          <w:ilvl w:val="0"/>
          <w:numId w:val="2"/>
        </w:numPr>
        <w:spacing w:after="240"/>
        <w:rPr>
          <w:rFonts w:asciiTheme="majorBidi" w:hAnsiTheme="majorBidi" w:cstheme="majorBidi"/>
        </w:rPr>
      </w:pPr>
      <w:r w:rsidRPr="00D504F3">
        <w:rPr>
          <w:rFonts w:asciiTheme="majorBidi" w:hAnsiTheme="majorBidi" w:cstheme="majorBidi"/>
        </w:rPr>
        <w:t xml:space="preserve"> Calculate the odds ratio and provide brief interpretation about the odds ratio. (5 points)</w:t>
      </w:r>
    </w:p>
    <w:p w14:paraId="21DD9046" w14:textId="201D9A0B" w:rsidR="00D504F3" w:rsidRDefault="00D504F3" w:rsidP="00D504F3">
      <w:pPr>
        <w:tabs>
          <w:tab w:val="left" w:pos="2627"/>
        </w:tabs>
      </w:pPr>
    </w:p>
    <w:p w14:paraId="0D213D17" w14:textId="77777777" w:rsidR="00D504F3" w:rsidRPr="00567EDD" w:rsidRDefault="00D504F3" w:rsidP="00D504F3">
      <w:pPr>
        <w:spacing w:after="240"/>
        <w:rPr>
          <w:rFonts w:asciiTheme="majorBidi" w:eastAsia="Times New Roman" w:hAnsiTheme="majorBidi" w:cstheme="majorBidi"/>
        </w:rPr>
      </w:pPr>
      <w:r w:rsidRPr="00567EDD">
        <w:rPr>
          <w:rFonts w:asciiTheme="majorBidi" w:eastAsia="Times New Roman" w:hAnsiTheme="majorBidi" w:cstheme="majorBidi"/>
        </w:rPr>
        <w:t>2- Suppose you do a study to see if benzene exposure causes leukemia. You match the 1970 employment records of Benzene, Inc. (a Kentucky company) for 3000 workers to the Kentucky Cancer Registry. You use the employment records of 3000 UK workers as a comparison group. Of the workers at Benzene, Inc., 145 develop leukemia over a 30-year period compared to 10 from UK workers.</w:t>
      </w:r>
    </w:p>
    <w:p w14:paraId="719F86BB" w14:textId="32685BC4" w:rsidR="00D504F3" w:rsidRDefault="00D504F3" w:rsidP="00D504F3">
      <w:pPr>
        <w:pStyle w:val="ListParagraph"/>
        <w:numPr>
          <w:ilvl w:val="0"/>
          <w:numId w:val="3"/>
        </w:numPr>
        <w:spacing w:after="240"/>
        <w:rPr>
          <w:rFonts w:asciiTheme="majorBidi" w:hAnsiTheme="majorBidi" w:cstheme="majorBidi"/>
        </w:rPr>
      </w:pPr>
      <w:r w:rsidRPr="00567EDD">
        <w:rPr>
          <w:rFonts w:asciiTheme="majorBidi" w:hAnsiTheme="majorBidi" w:cstheme="majorBidi"/>
        </w:rPr>
        <w:t>What kind of study is this? (3 points)</w:t>
      </w:r>
    </w:p>
    <w:p w14:paraId="68953F93" w14:textId="218C63BF" w:rsidR="00D504F3" w:rsidRDefault="00D504F3" w:rsidP="00D504F3">
      <w:pPr>
        <w:pStyle w:val="ListParagraph"/>
        <w:numPr>
          <w:ilvl w:val="0"/>
          <w:numId w:val="3"/>
        </w:numPr>
        <w:spacing w:after="240"/>
        <w:rPr>
          <w:rFonts w:asciiTheme="majorBidi" w:hAnsiTheme="majorBidi" w:cstheme="majorBidi"/>
        </w:rPr>
      </w:pPr>
      <w:r w:rsidRPr="00567EDD">
        <w:rPr>
          <w:rFonts w:asciiTheme="majorBidi" w:hAnsiTheme="majorBidi" w:cstheme="majorBidi"/>
        </w:rPr>
        <w:t>Construct the contingency table (3 points)</w:t>
      </w:r>
    </w:p>
    <w:p w14:paraId="21DB67FC" w14:textId="0A4D2154" w:rsidR="00D504F3" w:rsidRPr="00D504F3" w:rsidRDefault="00D504F3" w:rsidP="00D504F3">
      <w:pPr>
        <w:pStyle w:val="ListParagraph"/>
        <w:numPr>
          <w:ilvl w:val="0"/>
          <w:numId w:val="3"/>
        </w:numPr>
        <w:spacing w:after="240"/>
        <w:rPr>
          <w:rFonts w:asciiTheme="majorBidi" w:hAnsiTheme="majorBidi" w:cstheme="majorBidi"/>
        </w:rPr>
      </w:pPr>
      <w:r w:rsidRPr="00567EDD">
        <w:rPr>
          <w:rFonts w:asciiTheme="majorBidi" w:hAnsiTheme="majorBidi" w:cstheme="majorBidi"/>
        </w:rPr>
        <w:t>Calculating the risk of Leukemia for works exposing to Benzene. (3 points)</w:t>
      </w:r>
      <w:bookmarkStart w:id="0" w:name="_GoBack"/>
      <w:bookmarkEnd w:id="0"/>
    </w:p>
    <w:p w14:paraId="2F3F6AFC" w14:textId="77777777" w:rsidR="00D504F3" w:rsidRPr="00567EDD" w:rsidRDefault="00D504F3" w:rsidP="00D504F3">
      <w:pPr>
        <w:pStyle w:val="ListParagraph"/>
        <w:numPr>
          <w:ilvl w:val="0"/>
          <w:numId w:val="3"/>
        </w:numPr>
        <w:spacing w:after="240"/>
        <w:rPr>
          <w:rFonts w:asciiTheme="majorBidi" w:hAnsiTheme="majorBidi" w:cstheme="majorBidi"/>
        </w:rPr>
      </w:pPr>
      <w:r w:rsidRPr="00567EDD">
        <w:rPr>
          <w:rFonts w:asciiTheme="majorBidi" w:hAnsiTheme="majorBidi" w:cstheme="majorBidi"/>
        </w:rPr>
        <w:t>Calculating the risk of Leukemia for works not exposing to Benzene. (3 points)</w:t>
      </w:r>
    </w:p>
    <w:p w14:paraId="3C1A7ED4" w14:textId="77777777" w:rsidR="00D504F3" w:rsidRPr="00D504F3" w:rsidRDefault="00D504F3" w:rsidP="00D504F3">
      <w:pPr>
        <w:ind w:left="360"/>
        <w:rPr>
          <w:rFonts w:asciiTheme="majorBidi" w:hAnsiTheme="majorBidi" w:cstheme="majorBidi"/>
        </w:rPr>
      </w:pPr>
      <w:r w:rsidRPr="00D504F3">
        <w:rPr>
          <w:rFonts w:asciiTheme="majorBidi" w:hAnsiTheme="majorBidi" w:cstheme="majorBidi"/>
        </w:rPr>
        <w:t>e. What is the relative risk (RR) of exposing to Benzene and provide brief interpretation about the relative risk? (3 points)</w:t>
      </w:r>
    </w:p>
    <w:p w14:paraId="2AAB6A7E" w14:textId="77777777" w:rsidR="00D504F3" w:rsidRPr="00D504F3" w:rsidRDefault="00D504F3" w:rsidP="00D504F3">
      <w:pPr>
        <w:tabs>
          <w:tab w:val="left" w:pos="2627"/>
        </w:tabs>
      </w:pPr>
    </w:p>
    <w:sectPr w:rsidR="00D504F3" w:rsidRPr="00D504F3" w:rsidSect="00097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47165"/>
    <w:multiLevelType w:val="hybridMultilevel"/>
    <w:tmpl w:val="B386B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1F6665"/>
    <w:multiLevelType w:val="hybridMultilevel"/>
    <w:tmpl w:val="B386B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B72230"/>
    <w:multiLevelType w:val="hybridMultilevel"/>
    <w:tmpl w:val="C4CC5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4C016C"/>
    <w:multiLevelType w:val="hybridMultilevel"/>
    <w:tmpl w:val="1040CE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F3"/>
    <w:rsid w:val="00097072"/>
    <w:rsid w:val="00D5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CFA6"/>
  <w15:chartTrackingRefBased/>
  <w15:docId w15:val="{3057CC5D-4C4C-7D4E-89A6-4DFC7D89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4F3"/>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2019-10-28T15:18:00Z</dcterms:created>
  <dcterms:modified xsi:type="dcterms:W3CDTF">2019-10-28T15:25:00Z</dcterms:modified>
</cp:coreProperties>
</file>