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B14790" w14:textId="77777777" w:rsidR="00FE03C3" w:rsidRPr="00E24A4F" w:rsidRDefault="00E24A4F">
      <w:pPr>
        <w:rPr>
          <w:rFonts w:ascii="Palatino" w:hAnsi="Palatino"/>
        </w:rPr>
      </w:pPr>
      <w:r w:rsidRPr="00E24A4F">
        <w:rPr>
          <w:rFonts w:ascii="Palatino" w:hAnsi="Palatino"/>
        </w:rPr>
        <w:t>ENGL1011</w:t>
      </w:r>
    </w:p>
    <w:p w14:paraId="3D134524" w14:textId="2A126FB5" w:rsidR="00E24A4F" w:rsidRDefault="00B32B65">
      <w:pPr>
        <w:rPr>
          <w:rFonts w:ascii="Palatino" w:hAnsi="Palatino"/>
        </w:rPr>
      </w:pPr>
      <w:r>
        <w:rPr>
          <w:rFonts w:ascii="Palatino" w:hAnsi="Palatino"/>
        </w:rPr>
        <w:t>Fall 2017</w:t>
      </w:r>
    </w:p>
    <w:p w14:paraId="27504A26" w14:textId="77777777" w:rsidR="00E24A4F" w:rsidRDefault="00E24A4F">
      <w:pPr>
        <w:rPr>
          <w:rFonts w:ascii="Palatino" w:hAnsi="Palatino"/>
        </w:rPr>
      </w:pPr>
    </w:p>
    <w:p w14:paraId="4E396600" w14:textId="77777777" w:rsidR="00E24A4F" w:rsidRDefault="00E24A4F" w:rsidP="00E24A4F">
      <w:pPr>
        <w:jc w:val="center"/>
        <w:rPr>
          <w:rFonts w:ascii="Palatino" w:hAnsi="Palatino"/>
        </w:rPr>
      </w:pPr>
    </w:p>
    <w:p w14:paraId="0B0AF1CF" w14:textId="77777777" w:rsidR="00E24A4F" w:rsidRDefault="00E24A4F" w:rsidP="00E24A4F">
      <w:pPr>
        <w:jc w:val="center"/>
        <w:rPr>
          <w:rFonts w:ascii="Palatino" w:hAnsi="Palatino"/>
        </w:rPr>
      </w:pPr>
      <w:r>
        <w:rPr>
          <w:rFonts w:ascii="Palatino" w:hAnsi="Palatino"/>
        </w:rPr>
        <w:t>Paper Two</w:t>
      </w:r>
    </w:p>
    <w:p w14:paraId="3DEB4394" w14:textId="77777777" w:rsidR="00E24A4F" w:rsidRDefault="00E24A4F" w:rsidP="00E24A4F">
      <w:pPr>
        <w:jc w:val="center"/>
        <w:rPr>
          <w:rFonts w:ascii="Palatino" w:hAnsi="Palatino"/>
        </w:rPr>
      </w:pPr>
    </w:p>
    <w:p w14:paraId="058C5325" w14:textId="77777777" w:rsidR="00E24A4F" w:rsidRDefault="00E24A4F" w:rsidP="00DB0DF9">
      <w:pPr>
        <w:ind w:left="4770"/>
        <w:rPr>
          <w:rFonts w:ascii="Palatino" w:hAnsi="Palatino"/>
          <w:sz w:val="20"/>
          <w:szCs w:val="20"/>
        </w:rPr>
      </w:pPr>
      <w:r w:rsidRPr="00E24A4F">
        <w:rPr>
          <w:rFonts w:ascii="Palatino" w:hAnsi="Palatino"/>
          <w:sz w:val="20"/>
          <w:szCs w:val="20"/>
        </w:rPr>
        <w:t>What is to be done? What is to be done? Only those utterly indifferent to the suffering of others can forestall asking this question for long.</w:t>
      </w:r>
    </w:p>
    <w:p w14:paraId="735E65C4" w14:textId="77777777" w:rsidR="000278CC" w:rsidRDefault="000278CC" w:rsidP="00DB0DF9">
      <w:pPr>
        <w:ind w:left="4770"/>
        <w:rPr>
          <w:rFonts w:ascii="Palatino" w:hAnsi="Palatino"/>
          <w:sz w:val="20"/>
          <w:szCs w:val="20"/>
        </w:rPr>
      </w:pPr>
    </w:p>
    <w:p w14:paraId="0772FA4E" w14:textId="77777777" w:rsidR="000278CC" w:rsidRPr="00E24A4F" w:rsidRDefault="000278CC" w:rsidP="00DB0DF9">
      <w:pPr>
        <w:ind w:left="4770"/>
        <w:rPr>
          <w:rFonts w:ascii="Palatino" w:hAnsi="Palatino"/>
          <w:sz w:val="20"/>
          <w:szCs w:val="20"/>
        </w:rPr>
      </w:pPr>
      <w:r>
        <w:rPr>
          <w:rFonts w:ascii="Palatino" w:hAnsi="Palatino"/>
          <w:sz w:val="20"/>
          <w:szCs w:val="20"/>
        </w:rPr>
        <w:t>How—and in what limited ways—might reading and writing be made to matter in the new world that is evolving before our eyes?</w:t>
      </w:r>
    </w:p>
    <w:p w14:paraId="60F93D9A" w14:textId="77777777" w:rsidR="00A15D57" w:rsidRDefault="00E24A4F" w:rsidP="00DB0DF9">
      <w:pPr>
        <w:ind w:left="4770"/>
        <w:rPr>
          <w:rFonts w:ascii="Palatino" w:hAnsi="Palatino"/>
          <w:i/>
          <w:iCs/>
          <w:sz w:val="20"/>
          <w:szCs w:val="20"/>
        </w:rPr>
      </w:pPr>
      <w:r w:rsidRPr="00E24A4F">
        <w:rPr>
          <w:rFonts w:ascii="Palatino" w:hAnsi="Palatino"/>
          <w:sz w:val="20"/>
          <w:szCs w:val="20"/>
        </w:rPr>
        <w:t>--Richard Miller, “The Dark Night of the Soul</w:t>
      </w:r>
      <w:r w:rsidR="00A72367">
        <w:rPr>
          <w:rFonts w:ascii="Palatino" w:hAnsi="Palatino"/>
          <w:sz w:val="20"/>
          <w:szCs w:val="20"/>
        </w:rPr>
        <w:t>,</w:t>
      </w:r>
      <w:r w:rsidRPr="00E24A4F">
        <w:rPr>
          <w:rFonts w:ascii="Palatino" w:hAnsi="Palatino"/>
          <w:sz w:val="20"/>
          <w:szCs w:val="20"/>
        </w:rPr>
        <w:t>”</w:t>
      </w:r>
      <w:r w:rsidR="00A72367">
        <w:rPr>
          <w:rFonts w:ascii="Palatino" w:hAnsi="Palatino"/>
          <w:sz w:val="20"/>
          <w:szCs w:val="20"/>
        </w:rPr>
        <w:t xml:space="preserve"> in</w:t>
      </w:r>
      <w:r w:rsidR="00A72367">
        <w:rPr>
          <w:rFonts w:ascii="Palatino" w:hAnsi="Palatino"/>
          <w:i/>
          <w:iCs/>
          <w:sz w:val="20"/>
          <w:szCs w:val="20"/>
        </w:rPr>
        <w:t xml:space="preserve"> Ways of </w:t>
      </w:r>
    </w:p>
    <w:p w14:paraId="54BD30C9" w14:textId="77777777" w:rsidR="00E24A4F" w:rsidRDefault="00A72367" w:rsidP="00DB0DF9">
      <w:pPr>
        <w:ind w:left="4770"/>
        <w:rPr>
          <w:rFonts w:ascii="Palatino" w:hAnsi="Palatino"/>
          <w:sz w:val="20"/>
          <w:szCs w:val="20"/>
        </w:rPr>
      </w:pPr>
      <w:r>
        <w:rPr>
          <w:rFonts w:ascii="Palatino" w:hAnsi="Palatino"/>
          <w:i/>
          <w:iCs/>
          <w:sz w:val="20"/>
          <w:szCs w:val="20"/>
        </w:rPr>
        <w:t>Reading</w:t>
      </w:r>
      <w:r w:rsidRPr="00A72367">
        <w:rPr>
          <w:rFonts w:ascii="Palatino" w:hAnsi="Palatino"/>
          <w:sz w:val="20"/>
          <w:szCs w:val="20"/>
        </w:rPr>
        <w:t>, 422</w:t>
      </w:r>
      <w:r w:rsidR="000278CC">
        <w:rPr>
          <w:rFonts w:ascii="Palatino" w:hAnsi="Palatino"/>
          <w:sz w:val="20"/>
          <w:szCs w:val="20"/>
        </w:rPr>
        <w:t xml:space="preserve"> and 424</w:t>
      </w:r>
    </w:p>
    <w:p w14:paraId="790561D0" w14:textId="77777777" w:rsidR="00A15D57" w:rsidRDefault="00A15D57" w:rsidP="000278CC">
      <w:pPr>
        <w:jc w:val="both"/>
        <w:rPr>
          <w:rFonts w:ascii="Palatino" w:hAnsi="Palatino"/>
          <w:sz w:val="20"/>
          <w:szCs w:val="20"/>
        </w:rPr>
      </w:pPr>
    </w:p>
    <w:p w14:paraId="5E865DC0" w14:textId="77777777" w:rsidR="00A15D57" w:rsidRDefault="00A15D57" w:rsidP="000278CC">
      <w:pPr>
        <w:jc w:val="both"/>
        <w:rPr>
          <w:rFonts w:ascii="Palatino" w:hAnsi="Palatino"/>
          <w:sz w:val="20"/>
          <w:szCs w:val="20"/>
        </w:rPr>
      </w:pPr>
    </w:p>
    <w:p w14:paraId="63C76BE2" w14:textId="77777777" w:rsidR="000278CC" w:rsidRDefault="00A15D57" w:rsidP="00687D4F">
      <w:pPr>
        <w:ind w:firstLine="720"/>
        <w:rPr>
          <w:rFonts w:ascii="Palatino" w:hAnsi="Palatino"/>
        </w:rPr>
      </w:pPr>
      <w:r>
        <w:rPr>
          <w:rFonts w:ascii="Palatino" w:hAnsi="Palatino"/>
        </w:rPr>
        <w:t>Consider the following passage from Richard Miller’s essay “The Dark Night of the Soul”:</w:t>
      </w:r>
    </w:p>
    <w:p w14:paraId="7482B4D6" w14:textId="385BF316" w:rsidR="00A15D57" w:rsidRDefault="00A15D57" w:rsidP="00924E43">
      <w:pPr>
        <w:ind w:left="1440"/>
        <w:rPr>
          <w:rFonts w:ascii="Palatino" w:hAnsi="Palatino"/>
        </w:rPr>
      </w:pPr>
      <w:r>
        <w:rPr>
          <w:rFonts w:ascii="Palatino" w:hAnsi="Palatino"/>
        </w:rPr>
        <w:t xml:space="preserve">What makes </w:t>
      </w:r>
      <w:r>
        <w:rPr>
          <w:rFonts w:ascii="Palatino" w:hAnsi="Palatino"/>
          <w:i/>
          <w:iCs/>
        </w:rPr>
        <w:t xml:space="preserve">Into the Wild </w:t>
      </w:r>
      <w:r>
        <w:rPr>
          <w:rFonts w:ascii="Palatino" w:hAnsi="Palatino"/>
        </w:rPr>
        <w:t xml:space="preserve">remarkable is Krakauer’s ability to get some purchase on McCandless’s actual reading practice, which, in turn, enables him to get inside McCandless’s head and speculate with considerable authority about what ultimately led this young man to abandon the comforts of home and purposefully seek out mortal danger.  Krakauer is able </w:t>
      </w:r>
      <w:r w:rsidR="00924E43">
        <w:rPr>
          <w:rFonts w:ascii="Palatino" w:hAnsi="Palatino"/>
        </w:rPr>
        <w:t>to do this, in part, because he has access to the books that McCandless read, with all their underlining and marginalia,</w:t>
      </w:r>
      <w:r>
        <w:rPr>
          <w:rFonts w:ascii="Palatino" w:hAnsi="Palatino"/>
        </w:rPr>
        <w:t xml:space="preserve"> as well as to his journals and the postcards and letter</w:t>
      </w:r>
      <w:r w:rsidR="000820D5">
        <w:rPr>
          <w:rFonts w:ascii="Palatino" w:hAnsi="Palatino"/>
        </w:rPr>
        <w:t xml:space="preserve">s </w:t>
      </w:r>
      <w:r>
        <w:rPr>
          <w:rFonts w:ascii="Palatino" w:hAnsi="Palatino"/>
        </w:rPr>
        <w:t>McCandless sent to friend</w:t>
      </w:r>
      <w:r w:rsidR="000820D5">
        <w:rPr>
          <w:rFonts w:ascii="Palatino" w:hAnsi="Palatino"/>
        </w:rPr>
        <w:t>s</w:t>
      </w:r>
      <w:r>
        <w:rPr>
          <w:rFonts w:ascii="Palatino" w:hAnsi="Palatino"/>
        </w:rPr>
        <w:t xml:space="preserve"> during his journey. Working with these materials and his interviews with McCandless’s family and friend</w:t>
      </w:r>
      <w:r w:rsidR="00924E43">
        <w:rPr>
          <w:rFonts w:ascii="Palatino" w:hAnsi="Palatino"/>
        </w:rPr>
        <w:t xml:space="preserve">, </w:t>
      </w:r>
      <w:r>
        <w:rPr>
          <w:rFonts w:ascii="Palatino" w:hAnsi="Palatino"/>
        </w:rPr>
        <w:t xml:space="preserve">Krakauer develops a sense of McCandless’s inner life and eventually comes to some understanding of why the young man was so susceptible to being seduced by the writing of London, Thoreau, Muir, and Tolstoy. Who McCandless is and what becomes of him are, it </w:t>
      </w:r>
      <w:r w:rsidR="004F0710">
        <w:rPr>
          <w:rFonts w:ascii="Palatino" w:hAnsi="Palatino"/>
        </w:rPr>
        <w:t xml:space="preserve">turns </w:t>
      </w:r>
      <w:r>
        <w:rPr>
          <w:rFonts w:ascii="Palatino" w:hAnsi="Palatino"/>
        </w:rPr>
        <w:t>out, intimately connected to the young man’s approach to reading—both what he chose to read and how he chose to read it. (429)</w:t>
      </w:r>
    </w:p>
    <w:p w14:paraId="5560599F" w14:textId="77777777" w:rsidR="00A15D57" w:rsidRDefault="00A15D57" w:rsidP="004F0710">
      <w:pPr>
        <w:rPr>
          <w:rFonts w:ascii="Palatino" w:hAnsi="Palatino"/>
        </w:rPr>
      </w:pPr>
      <w:r>
        <w:rPr>
          <w:rFonts w:ascii="Palatino" w:hAnsi="Palatino"/>
        </w:rPr>
        <w:t xml:space="preserve">When Miller is writing about Krakauer’s </w:t>
      </w:r>
      <w:r w:rsidRPr="004F0710">
        <w:rPr>
          <w:rFonts w:ascii="Palatino" w:hAnsi="Palatino"/>
          <w:i/>
          <w:iCs/>
        </w:rPr>
        <w:t>Into the Wild</w:t>
      </w:r>
      <w:r>
        <w:rPr>
          <w:rFonts w:ascii="Palatino" w:hAnsi="Palatino"/>
        </w:rPr>
        <w:t>, he seems to sugges</w:t>
      </w:r>
      <w:r w:rsidR="004F0710">
        <w:rPr>
          <w:rFonts w:ascii="Palatino" w:hAnsi="Palatino"/>
        </w:rPr>
        <w:t>t</w:t>
      </w:r>
      <w:r>
        <w:rPr>
          <w:rFonts w:ascii="Palatino" w:hAnsi="Palatino"/>
        </w:rPr>
        <w:t xml:space="preserve"> that what we read, and how we read, can say something a</w:t>
      </w:r>
      <w:r w:rsidR="004F0710">
        <w:rPr>
          <w:rFonts w:ascii="Palatino" w:hAnsi="Palatino"/>
        </w:rPr>
        <w:t>bou</w:t>
      </w:r>
      <w:r>
        <w:rPr>
          <w:rFonts w:ascii="Palatino" w:hAnsi="Palatino"/>
        </w:rPr>
        <w:t>t who we are and about what we might become. This is a very bold claim.</w:t>
      </w:r>
      <w:r w:rsidR="004F0710">
        <w:rPr>
          <w:rFonts w:ascii="Palatino" w:hAnsi="Palatino"/>
        </w:rPr>
        <w:t xml:space="preserve"> </w:t>
      </w:r>
    </w:p>
    <w:p w14:paraId="6C5B078B" w14:textId="77777777" w:rsidR="004F0710" w:rsidRDefault="004F0710" w:rsidP="004F0710">
      <w:pPr>
        <w:rPr>
          <w:rFonts w:ascii="Palatino" w:hAnsi="Palatino"/>
        </w:rPr>
      </w:pPr>
    </w:p>
    <w:p w14:paraId="04F72E66" w14:textId="77777777" w:rsidR="00687D4F" w:rsidRDefault="004F0710" w:rsidP="00CD1FC0">
      <w:pPr>
        <w:rPr>
          <w:rFonts w:ascii="Palatino" w:hAnsi="Palatino"/>
        </w:rPr>
      </w:pPr>
      <w:r w:rsidRPr="004F0710">
        <w:rPr>
          <w:rFonts w:ascii="Palatino" w:hAnsi="Palatino"/>
        </w:rPr>
        <w:t>Part 1:</w:t>
      </w:r>
      <w:r>
        <w:rPr>
          <w:rFonts w:ascii="Palatino" w:hAnsi="Palatino"/>
        </w:rPr>
        <w:t xml:space="preserve">  </w:t>
      </w:r>
    </w:p>
    <w:p w14:paraId="7B3D5714" w14:textId="410F946C" w:rsidR="00CD1FC0" w:rsidRDefault="0066722D" w:rsidP="00687D4F">
      <w:pPr>
        <w:ind w:firstLine="720"/>
        <w:rPr>
          <w:rFonts w:ascii="Palatino" w:hAnsi="Palatino"/>
        </w:rPr>
      </w:pPr>
      <w:r>
        <w:rPr>
          <w:rFonts w:ascii="Palatino" w:hAnsi="Palatino"/>
        </w:rPr>
        <w:t xml:space="preserve">Richard </w:t>
      </w:r>
      <w:r w:rsidR="004F0710">
        <w:rPr>
          <w:rFonts w:ascii="Palatino" w:hAnsi="Palatino"/>
        </w:rPr>
        <w:t>Miller says that Jo</w:t>
      </w:r>
      <w:r>
        <w:rPr>
          <w:rFonts w:ascii="Palatino" w:hAnsi="Palatino"/>
        </w:rPr>
        <w:t xml:space="preserve">n Krakauer as a reader can </w:t>
      </w:r>
      <w:r w:rsidR="004F0710">
        <w:rPr>
          <w:rFonts w:ascii="Palatino" w:hAnsi="Palatino"/>
        </w:rPr>
        <w:t xml:space="preserve">gain insight into “McCandless’s actual reading practice,” and, as a result “get inside McCandless’s head” in order to “speculate” about why McCandless lived and died as he did. </w:t>
      </w:r>
    </w:p>
    <w:p w14:paraId="7B429692" w14:textId="1675C3BD" w:rsidR="00CD1FC0" w:rsidRDefault="00CD1FC0" w:rsidP="00B32B65">
      <w:pPr>
        <w:ind w:firstLine="720"/>
        <w:rPr>
          <w:rFonts w:ascii="Palatino" w:hAnsi="Palatino"/>
        </w:rPr>
      </w:pPr>
      <w:r>
        <w:rPr>
          <w:rFonts w:ascii="Palatino" w:hAnsi="Palatino"/>
        </w:rPr>
        <w:lastRenderedPageBreak/>
        <w:t xml:space="preserve"> Miller has provided you with an essay that may allow you to “get some purchase” on his</w:t>
      </w:r>
      <w:r w:rsidR="00687D4F">
        <w:rPr>
          <w:rFonts w:ascii="Palatino" w:hAnsi="Palatino"/>
        </w:rPr>
        <w:t xml:space="preserve"> own</w:t>
      </w:r>
      <w:r>
        <w:rPr>
          <w:rFonts w:ascii="Palatino" w:hAnsi="Palatino"/>
        </w:rPr>
        <w:t xml:space="preserve"> “actual reading practice</w:t>
      </w:r>
      <w:r w:rsidR="00687D4F">
        <w:rPr>
          <w:rFonts w:ascii="Palatino" w:hAnsi="Palatino"/>
        </w:rPr>
        <w:t>s</w:t>
      </w:r>
      <w:r>
        <w:rPr>
          <w:rFonts w:ascii="Palatino" w:hAnsi="Palatino"/>
        </w:rPr>
        <w:t xml:space="preserve">.” </w:t>
      </w:r>
      <w:r w:rsidR="00687D4F">
        <w:rPr>
          <w:rFonts w:ascii="Palatino" w:hAnsi="Palatino"/>
        </w:rPr>
        <w:t xml:space="preserve"> </w:t>
      </w:r>
      <w:r w:rsidR="00B32B65">
        <w:rPr>
          <w:rFonts w:ascii="Palatino" w:hAnsi="Palatino"/>
        </w:rPr>
        <w:t xml:space="preserve">Your job is to study Miller as a READER. </w:t>
      </w:r>
      <w:r w:rsidR="00687D4F">
        <w:rPr>
          <w:rFonts w:ascii="Palatino" w:hAnsi="Palatino"/>
        </w:rPr>
        <w:t xml:space="preserve">Choose </w:t>
      </w:r>
      <w:r w:rsidR="00B32B65">
        <w:rPr>
          <w:rFonts w:ascii="Palatino" w:hAnsi="Palatino"/>
        </w:rPr>
        <w:t>a set of</w:t>
      </w:r>
      <w:r w:rsidR="00924E43">
        <w:rPr>
          <w:rFonts w:ascii="Palatino" w:hAnsi="Palatino"/>
        </w:rPr>
        <w:t xml:space="preserve"> passages that—for you</w:t>
      </w:r>
      <w:r w:rsidR="00B32B65">
        <w:rPr>
          <w:rFonts w:ascii="Palatino" w:hAnsi="Palatino"/>
        </w:rPr>
        <w:t>—illustrates Miller’s</w:t>
      </w:r>
      <w:r w:rsidR="00284B51">
        <w:rPr>
          <w:rFonts w:ascii="Palatino" w:hAnsi="Palatino"/>
        </w:rPr>
        <w:t xml:space="preserve"> work as a reader, </w:t>
      </w:r>
      <w:r w:rsidR="00B32B65">
        <w:rPr>
          <w:rFonts w:ascii="Palatino" w:hAnsi="Palatino"/>
        </w:rPr>
        <w:t>as represented</w:t>
      </w:r>
      <w:r w:rsidR="00924E43">
        <w:rPr>
          <w:rFonts w:ascii="Palatino" w:hAnsi="Palatino"/>
        </w:rPr>
        <w:t xml:space="preserve"> in his essay.  Use the</w:t>
      </w:r>
      <w:r w:rsidR="00687D4F">
        <w:rPr>
          <w:rFonts w:ascii="Palatino" w:hAnsi="Palatino"/>
        </w:rPr>
        <w:t>se passages to identify, interpret and illustrate what you see as his “actual reading practices.”</w:t>
      </w:r>
      <w:r w:rsidR="00924E43">
        <w:rPr>
          <w:rFonts w:ascii="Palatino" w:hAnsi="Palatino"/>
        </w:rPr>
        <w:t xml:space="preserve"> What </w:t>
      </w:r>
      <w:r w:rsidR="00B32B65">
        <w:rPr>
          <w:rFonts w:ascii="Palatino" w:hAnsi="Palatino"/>
        </w:rPr>
        <w:t xml:space="preserve">might you argue are characteristic “ways of reading” for Miller? What sort of dialogue does he have with the texts he is reading? What kinds of things does he notice? Are there some things that he seems to skip paste? How does he make connections within a text? Between texts? Across a whole collection? These are not questions you have to “answer”; these are questions to help you study what Miller does when he reads. </w:t>
      </w:r>
    </w:p>
    <w:p w14:paraId="476BEAC5" w14:textId="77777777" w:rsidR="00687D4F" w:rsidRDefault="00687D4F" w:rsidP="00687D4F">
      <w:pPr>
        <w:pStyle w:val="NormalWeb"/>
        <w:contextualSpacing/>
        <w:rPr>
          <w:rFonts w:ascii="Palatino" w:hAnsi="Palatino"/>
        </w:rPr>
      </w:pPr>
      <w:r>
        <w:rPr>
          <w:rFonts w:ascii="Palatino" w:hAnsi="Palatino"/>
        </w:rPr>
        <w:t xml:space="preserve">Part 2:  </w:t>
      </w:r>
    </w:p>
    <w:p w14:paraId="491E016D" w14:textId="6691E26B" w:rsidR="00687D4F" w:rsidRDefault="00687D4F" w:rsidP="00284B51">
      <w:pPr>
        <w:pStyle w:val="NormalWeb"/>
        <w:ind w:firstLine="720"/>
        <w:contextualSpacing/>
        <w:rPr>
          <w:rFonts w:ascii="Palatino" w:hAnsi="Palatino"/>
        </w:rPr>
      </w:pPr>
      <w:r w:rsidRPr="00687D4F">
        <w:rPr>
          <w:rFonts w:ascii="Palatino" w:hAnsi="Palatino"/>
        </w:rPr>
        <w:t xml:space="preserve">Think of a book that made a difference to you, that captured you, maybe one you have read more than once, maybe one that you've made marks in or that still sits on your bookshelf. Or, if not a book, think of your favorite song or album or movie </w:t>
      </w:r>
      <w:r w:rsidR="00284B51" w:rsidRPr="00284B51">
        <w:rPr>
          <w:rFonts w:ascii="Palatino" w:hAnsi="Palatino"/>
        </w:rPr>
        <w:t xml:space="preserve">or </w:t>
      </w:r>
      <w:r w:rsidR="00284B51">
        <w:rPr>
          <w:rFonts w:ascii="Palatino" w:hAnsi="Palatino"/>
        </w:rPr>
        <w:t xml:space="preserve">TV </w:t>
      </w:r>
      <w:r w:rsidRPr="00687D4F">
        <w:rPr>
          <w:rFonts w:ascii="Palatino" w:hAnsi="Palatino"/>
        </w:rPr>
        <w:t>show, something that engaged you at least potentially as McCandless was engaged by London, Thoreau, Muir, and Tolstoy. What was it that you found there? What kind of reader were you? And what makes this a story in the past tense? How and why did you move on? (Or if it is not a story in the past tense, where are you now, and are you, l</w:t>
      </w:r>
      <w:r>
        <w:rPr>
          <w:rFonts w:ascii="Palatino" w:hAnsi="Palatino"/>
        </w:rPr>
        <w:t xml:space="preserve">ike McCandless, in any danger?)  Imagine this part of your paper as being part of the conversation about reading that Miller has begun about “how reading might be said to matter in the new world evolving before our eyes”? </w:t>
      </w:r>
    </w:p>
    <w:p w14:paraId="22050579" w14:textId="7551A872" w:rsidR="00B32B65" w:rsidRDefault="00B32B65" w:rsidP="00B32B65">
      <w:pPr>
        <w:pStyle w:val="NormalWeb"/>
        <w:contextualSpacing/>
        <w:rPr>
          <w:rFonts w:ascii="Palatino" w:hAnsi="Palatino"/>
        </w:rPr>
      </w:pPr>
    </w:p>
    <w:p w14:paraId="3E558780" w14:textId="77777777" w:rsidR="00687D4F" w:rsidRDefault="00687D4F" w:rsidP="00687D4F">
      <w:pPr>
        <w:pStyle w:val="NormalWeb"/>
        <w:contextualSpacing/>
        <w:rPr>
          <w:rFonts w:ascii="Palatino" w:hAnsi="Palatino"/>
        </w:rPr>
      </w:pPr>
    </w:p>
    <w:p w14:paraId="723C1728" w14:textId="7A370FAE" w:rsidR="00687D4F" w:rsidRDefault="00687D4F" w:rsidP="00687D4F">
      <w:pPr>
        <w:pStyle w:val="NormalWeb"/>
        <w:contextualSpacing/>
        <w:rPr>
          <w:rFonts w:ascii="Palatino" w:hAnsi="Palatino"/>
        </w:rPr>
      </w:pPr>
      <w:r>
        <w:rPr>
          <w:rFonts w:ascii="Palatino" w:hAnsi="Palatino"/>
        </w:rPr>
        <w:t xml:space="preserve">Part 3: </w:t>
      </w:r>
    </w:p>
    <w:p w14:paraId="2D616E83" w14:textId="0DD96B70" w:rsidR="00687D4F" w:rsidRPr="00687D4F" w:rsidRDefault="00687D4F" w:rsidP="00687D4F">
      <w:pPr>
        <w:pStyle w:val="NormalWeb"/>
        <w:contextualSpacing/>
        <w:rPr>
          <w:rFonts w:ascii="Palatino" w:hAnsi="Palatino"/>
        </w:rPr>
      </w:pPr>
      <w:r>
        <w:rPr>
          <w:rFonts w:ascii="Palatino" w:hAnsi="Palatino"/>
        </w:rPr>
        <w:tab/>
        <w:t>Finally, pull these two parts into a complete essay. You can use headings or any other framing devices that help you make these two parts into one essay on reading.</w:t>
      </w:r>
    </w:p>
    <w:p w14:paraId="5EEE0CCB" w14:textId="6D6DA4BB" w:rsidR="00687D4F" w:rsidRPr="00687D4F" w:rsidRDefault="00687D4F" w:rsidP="00687D4F">
      <w:pPr>
        <w:rPr>
          <w:rFonts w:ascii="Palatino" w:hAnsi="Palatino"/>
        </w:rPr>
      </w:pPr>
    </w:p>
    <w:p w14:paraId="44974611" w14:textId="77777777" w:rsidR="004F0710" w:rsidRPr="00687D4F" w:rsidRDefault="004F0710" w:rsidP="004F0710">
      <w:pPr>
        <w:rPr>
          <w:rFonts w:ascii="Palatino" w:hAnsi="Palatino"/>
        </w:rPr>
      </w:pPr>
    </w:p>
    <w:p w14:paraId="7A67CAB8" w14:textId="77777777" w:rsidR="004F0710" w:rsidRPr="00687D4F" w:rsidRDefault="004F0710" w:rsidP="004F0710">
      <w:pPr>
        <w:rPr>
          <w:rFonts w:ascii="Palatino" w:hAnsi="Palatino"/>
        </w:rPr>
      </w:pPr>
    </w:p>
    <w:p w14:paraId="7AD8FF28" w14:textId="77777777" w:rsidR="00E24A4F" w:rsidRDefault="00E24A4F" w:rsidP="00E24A4F">
      <w:pPr>
        <w:rPr>
          <w:rFonts w:ascii="Palatino" w:hAnsi="Palatino"/>
        </w:rPr>
      </w:pPr>
    </w:p>
    <w:p w14:paraId="71C1ADB8" w14:textId="77777777" w:rsidR="00E24A4F" w:rsidRDefault="00E24A4F" w:rsidP="00E24A4F">
      <w:pPr>
        <w:rPr>
          <w:rFonts w:ascii="Palatino" w:hAnsi="Palatino"/>
          <w:rtl/>
        </w:rPr>
      </w:pPr>
    </w:p>
    <w:p w14:paraId="007353FC" w14:textId="77777777" w:rsidR="007F7E7C" w:rsidRDefault="007F7E7C" w:rsidP="00E24A4F">
      <w:pPr>
        <w:rPr>
          <w:rFonts w:ascii="Palatino" w:hAnsi="Palatino"/>
          <w:rtl/>
        </w:rPr>
      </w:pPr>
    </w:p>
    <w:p w14:paraId="636993FB" w14:textId="77777777" w:rsidR="007F7E7C" w:rsidRDefault="007F7E7C" w:rsidP="00E24A4F">
      <w:pPr>
        <w:rPr>
          <w:rFonts w:ascii="Palatino" w:hAnsi="Palatino"/>
          <w:rtl/>
        </w:rPr>
      </w:pPr>
    </w:p>
    <w:p w14:paraId="645EEF2E" w14:textId="77777777" w:rsidR="007F7E7C" w:rsidRDefault="007F7E7C" w:rsidP="00E24A4F">
      <w:pPr>
        <w:rPr>
          <w:rFonts w:ascii="Palatino" w:hAnsi="Palatino"/>
          <w:rtl/>
        </w:rPr>
      </w:pPr>
    </w:p>
    <w:p w14:paraId="290AABB4" w14:textId="77777777" w:rsidR="007F7E7C" w:rsidRDefault="007F7E7C" w:rsidP="00E24A4F">
      <w:pPr>
        <w:rPr>
          <w:rFonts w:ascii="Palatino" w:hAnsi="Palatino"/>
          <w:rtl/>
        </w:rPr>
      </w:pPr>
    </w:p>
    <w:p w14:paraId="1969D2C3" w14:textId="77777777" w:rsidR="007F7E7C" w:rsidRDefault="007F7E7C" w:rsidP="00E24A4F">
      <w:pPr>
        <w:rPr>
          <w:rFonts w:ascii="Palatino" w:hAnsi="Palatino"/>
          <w:rtl/>
        </w:rPr>
      </w:pPr>
    </w:p>
    <w:p w14:paraId="0BC7496D" w14:textId="77777777" w:rsidR="007F7E7C" w:rsidRDefault="007F7E7C" w:rsidP="00E24A4F">
      <w:pPr>
        <w:rPr>
          <w:rFonts w:ascii="Palatino" w:hAnsi="Palatino"/>
          <w:rtl/>
        </w:rPr>
      </w:pPr>
    </w:p>
    <w:p w14:paraId="7758921E" w14:textId="77777777" w:rsidR="007F7E7C" w:rsidRDefault="007F7E7C" w:rsidP="00E24A4F">
      <w:pPr>
        <w:rPr>
          <w:rFonts w:ascii="Palatino" w:hAnsi="Palatino"/>
          <w:rtl/>
        </w:rPr>
      </w:pPr>
    </w:p>
    <w:p w14:paraId="1BEA7998" w14:textId="77777777" w:rsidR="007F7E7C" w:rsidRDefault="007F7E7C" w:rsidP="00E24A4F">
      <w:pPr>
        <w:rPr>
          <w:rFonts w:ascii="Palatino" w:hAnsi="Palatino"/>
          <w:rtl/>
        </w:rPr>
      </w:pPr>
    </w:p>
    <w:p w14:paraId="0D4776E4" w14:textId="77777777" w:rsidR="007F7E7C" w:rsidRDefault="007F7E7C" w:rsidP="00E24A4F">
      <w:pPr>
        <w:rPr>
          <w:rFonts w:ascii="Palatino" w:hAnsi="Palatino"/>
          <w:rtl/>
        </w:rPr>
      </w:pPr>
    </w:p>
    <w:p w14:paraId="09A8C4ED" w14:textId="77777777" w:rsidR="007F7E7C" w:rsidRDefault="007F7E7C" w:rsidP="00E24A4F">
      <w:pPr>
        <w:rPr>
          <w:rFonts w:ascii="Palatino" w:hAnsi="Palatino"/>
          <w:rtl/>
        </w:rPr>
      </w:pPr>
    </w:p>
    <w:p w14:paraId="09CF9F76" w14:textId="4D3ABDB4" w:rsidR="007F7E7C" w:rsidRDefault="007F7E7C" w:rsidP="00E24A4F">
      <w:pPr>
        <w:rPr>
          <w:rFonts w:ascii="Palatino" w:hAnsi="Palatino"/>
        </w:rPr>
      </w:pPr>
    </w:p>
    <w:p w14:paraId="618C73B0" w14:textId="3982420F" w:rsidR="007F7E7C" w:rsidRDefault="007F7E7C" w:rsidP="00E24A4F">
      <w:pPr>
        <w:rPr>
          <w:rFonts w:ascii="Palatino" w:hAnsi="Palatino"/>
        </w:rPr>
      </w:pPr>
      <w:r>
        <w:rPr>
          <w:rFonts w:ascii="Palatino" w:hAnsi="Palatino"/>
        </w:rPr>
        <w:lastRenderedPageBreak/>
        <w:t>This is the link that you going to write the essay from:</w:t>
      </w:r>
    </w:p>
    <w:p w14:paraId="1249E791" w14:textId="77777777" w:rsidR="007F7E7C" w:rsidRDefault="007F7E7C" w:rsidP="00E24A4F">
      <w:pPr>
        <w:rPr>
          <w:rFonts w:ascii="Palatino" w:hAnsi="Palatino"/>
        </w:rPr>
      </w:pPr>
    </w:p>
    <w:p w14:paraId="6033AD0A" w14:textId="61A836CF" w:rsidR="007F7E7C" w:rsidRDefault="007F7E7C" w:rsidP="00E24A4F">
      <w:pPr>
        <w:rPr>
          <w:rFonts w:ascii="Palatino" w:hAnsi="Palatino"/>
        </w:rPr>
      </w:pPr>
      <w:hyperlink r:id="rId4" w:history="1">
        <w:r w:rsidRPr="006D720D">
          <w:rPr>
            <w:rStyle w:val="Hyperlink"/>
            <w:rFonts w:ascii="Palatino" w:hAnsi="Palatino"/>
          </w:rPr>
          <w:t>https://engl1113fall2012.files.wordpress.com/2012/11/miller.pdf</w:t>
        </w:r>
      </w:hyperlink>
    </w:p>
    <w:p w14:paraId="38456631" w14:textId="77777777" w:rsidR="007F7E7C" w:rsidRPr="00E24A4F" w:rsidRDefault="007F7E7C" w:rsidP="00E24A4F">
      <w:pPr>
        <w:rPr>
          <w:rFonts w:ascii="Palatino" w:hAnsi="Palatino"/>
        </w:rPr>
      </w:pPr>
      <w:bookmarkStart w:id="0" w:name="_GoBack"/>
      <w:bookmarkEnd w:id="0"/>
    </w:p>
    <w:sectPr w:rsidR="007F7E7C" w:rsidRPr="00E24A4F" w:rsidSect="005A47B9">
      <w:pgSz w:w="12240" w:h="15840"/>
      <w:pgMar w:top="1440" w:right="1440" w:bottom="1440" w:left="1440" w:header="720" w:footer="720" w:gutter="0"/>
      <w:cols w:space="720"/>
      <w:docGrid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DengXian">
    <w:charset w:val="86"/>
    <w:family w:val="script"/>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Palatino">
    <w:altName w:val="Book Antiqua"/>
    <w:charset w:val="00"/>
    <w:family w:val="roman"/>
    <w:pitch w:val="variable"/>
    <w:sig w:usb0="A00002FF" w:usb1="7800205A" w:usb2="14600000" w:usb3="00000000" w:csb0="00000193" w:csb1="00000000"/>
  </w:font>
  <w:font w:name="DengXian Light">
    <w:charset w:val="86"/>
    <w:family w:val="script"/>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A4F"/>
    <w:rsid w:val="000278CC"/>
    <w:rsid w:val="000820D5"/>
    <w:rsid w:val="00284B51"/>
    <w:rsid w:val="002E032B"/>
    <w:rsid w:val="004F0710"/>
    <w:rsid w:val="005A47B9"/>
    <w:rsid w:val="0066722D"/>
    <w:rsid w:val="00687D4F"/>
    <w:rsid w:val="007357D5"/>
    <w:rsid w:val="007F7E7C"/>
    <w:rsid w:val="00924E43"/>
    <w:rsid w:val="00A15D57"/>
    <w:rsid w:val="00A72367"/>
    <w:rsid w:val="00B32B65"/>
    <w:rsid w:val="00CD1FC0"/>
    <w:rsid w:val="00DB0DF9"/>
    <w:rsid w:val="00E24A4F"/>
    <w:rsid w:val="00FE0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5F90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7D4F"/>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7F7E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ngl1113fall2012.files.wordpress.com/2012/11/mille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595</Words>
  <Characters>3396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user</cp:lastModifiedBy>
  <cp:revision>4</cp:revision>
  <dcterms:created xsi:type="dcterms:W3CDTF">2017-10-26T23:20:00Z</dcterms:created>
  <dcterms:modified xsi:type="dcterms:W3CDTF">2017-11-25T23:24:00Z</dcterms:modified>
</cp:coreProperties>
</file>