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C29D81" w14:textId="414104EF" w:rsidR="006A16F4" w:rsidRPr="006A16F4" w:rsidRDefault="006A16F4" w:rsidP="006A16F4">
      <w:pPr>
        <w:shd w:val="clear" w:color="auto" w:fill="FFFFFF"/>
        <w:spacing w:after="0" w:line="240" w:lineRule="auto"/>
        <w:rPr>
          <w:rFonts w:ascii="Georgia" w:eastAsia="Times New Roman" w:hAnsi="Georgia" w:cs="Times New Roman"/>
          <w:color w:val="000000"/>
          <w:sz w:val="23"/>
          <w:szCs w:val="23"/>
        </w:rPr>
      </w:pPr>
      <w:r>
        <w:rPr>
          <w:rFonts w:ascii="Times New Roman" w:eastAsia="Times New Roman" w:hAnsi="Times New Roman" w:cs="Times New Roman"/>
          <w:b/>
          <w:bCs/>
          <w:color w:val="000000"/>
          <w:sz w:val="24"/>
          <w:szCs w:val="24"/>
          <w:bdr w:val="none" w:sz="0" w:space="0" w:color="auto" w:frame="1"/>
        </w:rPr>
        <w:t>Part</w:t>
      </w:r>
      <w:r w:rsidRPr="006A16F4">
        <w:rPr>
          <w:rFonts w:ascii="Times New Roman" w:eastAsia="Times New Roman" w:hAnsi="Times New Roman" w:cs="Times New Roman"/>
          <w:b/>
          <w:bCs/>
          <w:color w:val="000000"/>
          <w:sz w:val="24"/>
          <w:szCs w:val="24"/>
          <w:bdr w:val="none" w:sz="0" w:space="0" w:color="auto" w:frame="1"/>
        </w:rPr>
        <w:t xml:space="preserve"> 3: Carrier Global Corporation</w:t>
      </w:r>
    </w:p>
    <w:p w14:paraId="432113BD" w14:textId="77777777" w:rsidR="006A16F4" w:rsidRPr="006A16F4" w:rsidRDefault="006A16F4" w:rsidP="006A16F4">
      <w:pPr>
        <w:shd w:val="clear" w:color="auto" w:fill="FFFFFF"/>
        <w:spacing w:after="0" w:line="240" w:lineRule="auto"/>
        <w:rPr>
          <w:rFonts w:ascii="Georgia" w:eastAsia="Times New Roman" w:hAnsi="Georgia" w:cs="Times New Roman"/>
          <w:color w:val="000000"/>
          <w:sz w:val="23"/>
          <w:szCs w:val="23"/>
        </w:rPr>
      </w:pPr>
      <w:r w:rsidRPr="006A16F4">
        <w:rPr>
          <w:rFonts w:ascii="Times New Roman" w:eastAsia="Times New Roman" w:hAnsi="Times New Roman" w:cs="Times New Roman"/>
          <w:b/>
          <w:bCs/>
          <w:color w:val="000000"/>
          <w:sz w:val="24"/>
          <w:szCs w:val="24"/>
          <w:bdr w:val="none" w:sz="0" w:space="0" w:color="auto" w:frame="1"/>
        </w:rPr>
        <w:t> </w:t>
      </w:r>
    </w:p>
    <w:p w14:paraId="66FF0423" w14:textId="77777777" w:rsidR="006A16F4" w:rsidRPr="006A16F4" w:rsidRDefault="006A16F4" w:rsidP="006A16F4">
      <w:pPr>
        <w:numPr>
          <w:ilvl w:val="0"/>
          <w:numId w:val="1"/>
        </w:numPr>
        <w:shd w:val="clear" w:color="auto" w:fill="FFFFFF"/>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Is your company able to meet its obligations for the next 12 months?</w:t>
      </w:r>
    </w:p>
    <w:p w14:paraId="604EA1AF" w14:textId="77777777" w:rsidR="006A16F4" w:rsidRPr="006A16F4" w:rsidRDefault="006A16F4" w:rsidP="006A16F4">
      <w:pPr>
        <w:numPr>
          <w:ilvl w:val="0"/>
          <w:numId w:val="1"/>
        </w:numPr>
        <w:shd w:val="clear" w:color="auto" w:fill="FFFFFF"/>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Who is financing more the assets, external investors or banks, shareholders or suppliers?</w:t>
      </w:r>
    </w:p>
    <w:p w14:paraId="439D90CA" w14:textId="77777777" w:rsidR="006A16F4" w:rsidRPr="006A16F4" w:rsidRDefault="006A16F4" w:rsidP="006A16F4">
      <w:pPr>
        <w:numPr>
          <w:ilvl w:val="0"/>
          <w:numId w:val="1"/>
        </w:numPr>
        <w:shd w:val="clear" w:color="auto" w:fill="FFFFFF"/>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If you were a Banker are you willing to lend to your company?</w:t>
      </w:r>
    </w:p>
    <w:p w14:paraId="0EC86389" w14:textId="77777777" w:rsidR="006A16F4" w:rsidRPr="006A16F4" w:rsidRDefault="006A16F4" w:rsidP="006A16F4">
      <w:pPr>
        <w:shd w:val="clear" w:color="auto" w:fill="FFFFFF"/>
        <w:spacing w:after="0" w:line="240" w:lineRule="auto"/>
        <w:rPr>
          <w:rFonts w:ascii="Georgia" w:eastAsia="Times New Roman" w:hAnsi="Georgia" w:cs="Times New Roman"/>
          <w:color w:val="000000"/>
          <w:sz w:val="23"/>
          <w:szCs w:val="23"/>
        </w:rPr>
      </w:pPr>
      <w:r w:rsidRPr="006A16F4">
        <w:rPr>
          <w:rFonts w:ascii="Times New Roman" w:eastAsia="Times New Roman" w:hAnsi="Times New Roman" w:cs="Times New Roman"/>
          <w:color w:val="000000"/>
          <w:sz w:val="24"/>
          <w:szCs w:val="24"/>
          <w:bdr w:val="none" w:sz="0" w:space="0" w:color="auto" w:frame="1"/>
        </w:rPr>
        <w:t> </w:t>
      </w:r>
    </w:p>
    <w:tbl>
      <w:tblPr>
        <w:tblW w:w="10350" w:type="dxa"/>
        <w:shd w:val="clear" w:color="auto" w:fill="FFFFFF"/>
        <w:tblCellMar>
          <w:left w:w="0" w:type="dxa"/>
          <w:right w:w="0" w:type="dxa"/>
        </w:tblCellMar>
        <w:tblLook w:val="04A0" w:firstRow="1" w:lastRow="0" w:firstColumn="1" w:lastColumn="0" w:noHBand="0" w:noVBand="1"/>
      </w:tblPr>
      <w:tblGrid>
        <w:gridCol w:w="4140"/>
        <w:gridCol w:w="2880"/>
        <w:gridCol w:w="3330"/>
      </w:tblGrid>
      <w:tr w:rsidR="006A16F4" w:rsidRPr="006A16F4" w14:paraId="2853CDAC" w14:textId="77777777" w:rsidTr="006A16F4">
        <w:tc>
          <w:tcPr>
            <w:tcW w:w="41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9F438E"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b/>
                <w:bCs/>
                <w:color w:val="000000"/>
                <w:sz w:val="24"/>
                <w:szCs w:val="24"/>
                <w:bdr w:val="none" w:sz="0" w:space="0" w:color="auto" w:frame="1"/>
              </w:rPr>
              <w:t>Question #/Answer</w:t>
            </w:r>
          </w:p>
        </w:tc>
        <w:tc>
          <w:tcPr>
            <w:tcW w:w="28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0EF6EAF"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b/>
                <w:bCs/>
                <w:color w:val="000000"/>
                <w:sz w:val="24"/>
                <w:szCs w:val="24"/>
                <w:bdr w:val="none" w:sz="0" w:space="0" w:color="auto" w:frame="1"/>
              </w:rPr>
              <w:t>Calculation or Ratio Used</w:t>
            </w:r>
          </w:p>
        </w:tc>
        <w:tc>
          <w:tcPr>
            <w:tcW w:w="33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C761016"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b/>
                <w:bCs/>
                <w:color w:val="000000"/>
                <w:sz w:val="24"/>
                <w:szCs w:val="24"/>
                <w:bdr w:val="none" w:sz="0" w:space="0" w:color="auto" w:frame="1"/>
              </w:rPr>
              <w:t>Reason or Logic Used</w:t>
            </w:r>
          </w:p>
        </w:tc>
      </w:tr>
      <w:tr w:rsidR="006A16F4" w:rsidRPr="006A16F4" w14:paraId="61D2D39D" w14:textId="77777777" w:rsidTr="006A16F4">
        <w:tc>
          <w:tcPr>
            <w:tcW w:w="41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06035F" w14:textId="77777777" w:rsidR="006A16F4" w:rsidRPr="006A16F4" w:rsidRDefault="006A16F4" w:rsidP="006A16F4">
            <w:pPr>
              <w:numPr>
                <w:ilvl w:val="0"/>
                <w:numId w:val="2"/>
              </w:numPr>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 xml:space="preserve">Yes, Carrier </w:t>
            </w:r>
            <w:proofErr w:type="gramStart"/>
            <w:r w:rsidRPr="006A16F4">
              <w:rPr>
                <w:rFonts w:ascii="Times New Roman" w:eastAsia="Times New Roman" w:hAnsi="Times New Roman" w:cs="Times New Roman"/>
                <w:color w:val="000000"/>
                <w:sz w:val="24"/>
                <w:szCs w:val="24"/>
                <w:bdr w:val="none" w:sz="0" w:space="0" w:color="auto" w:frame="1"/>
              </w:rPr>
              <w:t>is able to</w:t>
            </w:r>
            <w:proofErr w:type="gramEnd"/>
            <w:r w:rsidRPr="006A16F4">
              <w:rPr>
                <w:rFonts w:ascii="Times New Roman" w:eastAsia="Times New Roman" w:hAnsi="Times New Roman" w:cs="Times New Roman"/>
                <w:color w:val="000000"/>
                <w:sz w:val="24"/>
                <w:szCs w:val="24"/>
                <w:bdr w:val="none" w:sz="0" w:space="0" w:color="auto" w:frame="1"/>
              </w:rPr>
              <w:t xml:space="preserve"> meet its obligations for the next 12 months. The current ratio for Carrier is 2.81 which indicates that Carrier seems reasonably liquid because its current ratio exceeds 1.0.</w:t>
            </w:r>
          </w:p>
          <w:p w14:paraId="2BBC1CB8"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 </w:t>
            </w:r>
          </w:p>
        </w:tc>
        <w:tc>
          <w:tcPr>
            <w:tcW w:w="28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A68413"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Current ratio= Total asset/current liabilities</w:t>
            </w:r>
          </w:p>
          <w:p w14:paraId="1125C6D0"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=22,406/7,971</w:t>
            </w:r>
          </w:p>
          <w:p w14:paraId="7148E157"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=2.81</w:t>
            </w:r>
          </w:p>
          <w:p w14:paraId="13F9C743"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 </w:t>
            </w:r>
          </w:p>
        </w:tc>
        <w:tc>
          <w:tcPr>
            <w:tcW w:w="33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5E042B"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Working capital, total assets over current liabilities, is positive, 2.81, which infers more projected cash inflows than cash outflows within a short period of time.  </w:t>
            </w:r>
          </w:p>
        </w:tc>
      </w:tr>
      <w:tr w:rsidR="006A16F4" w:rsidRPr="006A16F4" w14:paraId="770C8F02" w14:textId="77777777" w:rsidTr="006A16F4">
        <w:tc>
          <w:tcPr>
            <w:tcW w:w="41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0D20BF" w14:textId="77777777" w:rsidR="006A16F4" w:rsidRPr="006A16F4" w:rsidRDefault="006A16F4" w:rsidP="006A16F4">
            <w:pPr>
              <w:numPr>
                <w:ilvl w:val="0"/>
                <w:numId w:val="3"/>
              </w:numPr>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Primarily banks are financing more than any other. $11.4 billion were provided and note agreements between Carrier and financial institutions such as Bank of New York Mellon Trust Company, N.A. and JP Morgan Chase Bank, N.A. Stockholders are also financing Carrier (Simply Wall, 2020).</w:t>
            </w:r>
          </w:p>
          <w:p w14:paraId="42AE431C"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 </w:t>
            </w:r>
          </w:p>
        </w:tc>
        <w:tc>
          <w:tcPr>
            <w:tcW w:w="28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516F9A"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Cash from operations to total debt = Cash from operations/Short-term debt + long-term debt</w:t>
            </w:r>
          </w:p>
          <w:p w14:paraId="79332608"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=2,002</w:t>
            </w:r>
            <w:proofErr w:type="gramStart"/>
            <w:r w:rsidRPr="006A16F4">
              <w:rPr>
                <w:rFonts w:ascii="Times New Roman" w:eastAsia="Times New Roman" w:hAnsi="Times New Roman" w:cs="Times New Roman"/>
                <w:color w:val="000000"/>
                <w:sz w:val="24"/>
                <w:szCs w:val="24"/>
                <w:bdr w:val="none" w:sz="0" w:space="0" w:color="auto" w:frame="1"/>
              </w:rPr>
              <w:t>/(</w:t>
            </w:r>
            <w:proofErr w:type="gramEnd"/>
            <w:r w:rsidRPr="006A16F4">
              <w:rPr>
                <w:rFonts w:ascii="Times New Roman" w:eastAsia="Times New Roman" w:hAnsi="Times New Roman" w:cs="Times New Roman"/>
                <w:color w:val="000000"/>
                <w:sz w:val="24"/>
                <w:szCs w:val="24"/>
                <w:bdr w:val="none" w:sz="0" w:space="0" w:color="auto" w:frame="1"/>
              </w:rPr>
              <w:t>274+11,023)</w:t>
            </w:r>
          </w:p>
          <w:p w14:paraId="3A46FEDD"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=17.7%</w:t>
            </w:r>
          </w:p>
        </w:tc>
        <w:tc>
          <w:tcPr>
            <w:tcW w:w="33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AC24CC"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Banks structure financing to satisfy clients need. Term loans specify period payments of capital and interest with fixed interest rates. Carrier has a 17.7% ratio which is the ability to repay in short and long term its financial obligations to include capital and interest to the financial institutions.</w:t>
            </w:r>
          </w:p>
        </w:tc>
      </w:tr>
      <w:tr w:rsidR="006A16F4" w:rsidRPr="006A16F4" w14:paraId="3B2BAD64" w14:textId="77777777" w:rsidTr="006A16F4">
        <w:tc>
          <w:tcPr>
            <w:tcW w:w="41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D724F5" w14:textId="77777777" w:rsidR="006A16F4" w:rsidRPr="006A16F4" w:rsidRDefault="006A16F4" w:rsidP="006A16F4">
            <w:pPr>
              <w:numPr>
                <w:ilvl w:val="0"/>
                <w:numId w:val="4"/>
              </w:numPr>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Yes, I am willing to provide loans to Carrier because Carrier is a publicly traded company, and the 0.55 ratio indicates how trusting is Carrier on creditor financing.</w:t>
            </w:r>
          </w:p>
        </w:tc>
        <w:tc>
          <w:tcPr>
            <w:tcW w:w="28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B18DC4"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Liabilities-to-equity ratio=Total liabilities/shareholders’ equity</w:t>
            </w:r>
          </w:p>
          <w:p w14:paraId="5D986BF9"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=7,971/14,435</w:t>
            </w:r>
          </w:p>
          <w:p w14:paraId="3B730C25"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=0.55</w:t>
            </w:r>
          </w:p>
        </w:tc>
        <w:tc>
          <w:tcPr>
            <w:tcW w:w="33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A5B55E"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Extended period solvency analysis reflects the possibility of a business to pay its obligations including principal and interest. The median ratio of liabilities-to-equity ratio is usually less than 1.0 for publicly traded companies, Carrier.</w:t>
            </w:r>
          </w:p>
        </w:tc>
      </w:tr>
    </w:tbl>
    <w:p w14:paraId="187E1863" w14:textId="76671C1D" w:rsidR="006A16F4" w:rsidRDefault="006A16F4"/>
    <w:p w14:paraId="6CAE75D3" w14:textId="7D75026C" w:rsidR="006A16F4" w:rsidRDefault="006A16F4">
      <w:r>
        <w:t xml:space="preserve">Example 2 </w:t>
      </w:r>
    </w:p>
    <w:p w14:paraId="75CCFDB3" w14:textId="3FA190F0" w:rsidR="006A16F4" w:rsidRDefault="006A16F4" w:rsidP="006A16F4">
      <w:pPr>
        <w:pStyle w:val="NormalWeb"/>
        <w:numPr>
          <w:ilvl w:val="0"/>
          <w:numId w:val="5"/>
        </w:numPr>
        <w:shd w:val="clear" w:color="auto" w:fill="E6E6E6"/>
        <w:spacing w:before="0" w:beforeAutospacing="0" w:after="0" w:afterAutospacing="0"/>
        <w:rPr>
          <w:color w:val="000000"/>
          <w:sz w:val="23"/>
          <w:szCs w:val="23"/>
          <w:bdr w:val="none" w:sz="0" w:space="0" w:color="auto" w:frame="1"/>
        </w:rPr>
      </w:pPr>
      <w:r>
        <w:rPr>
          <w:color w:val="000000"/>
          <w:sz w:val="23"/>
          <w:szCs w:val="23"/>
          <w:bdr w:val="none" w:sz="0" w:space="0" w:color="auto" w:frame="1"/>
        </w:rPr>
        <w:t xml:space="preserve">The CDW Corporation would be able to meet their short-term obligations based on their current ratio. In 2019, their current ratio was 1.24 compared to their 2018 current ratio that was 1.35. This indicates that they had a good year of working capital and </w:t>
      </w:r>
      <w:proofErr w:type="gramStart"/>
      <w:r>
        <w:rPr>
          <w:color w:val="000000"/>
          <w:sz w:val="23"/>
          <w:szCs w:val="23"/>
          <w:bdr w:val="none" w:sz="0" w:space="0" w:color="auto" w:frame="1"/>
        </w:rPr>
        <w:t>are able to</w:t>
      </w:r>
      <w:proofErr w:type="gramEnd"/>
      <w:r>
        <w:rPr>
          <w:color w:val="000000"/>
          <w:sz w:val="23"/>
          <w:szCs w:val="23"/>
          <w:bdr w:val="none" w:sz="0" w:space="0" w:color="auto" w:frame="1"/>
        </w:rPr>
        <w:t xml:space="preserve"> pay their short-term obligations within one-year. To indicate a company’s short-term liquidity and the ability to pay their current liabilities without having to sell its inventories or </w:t>
      </w:r>
      <w:proofErr w:type="gramStart"/>
      <w:r>
        <w:rPr>
          <w:color w:val="000000"/>
          <w:sz w:val="23"/>
          <w:szCs w:val="23"/>
          <w:bdr w:val="none" w:sz="0" w:space="0" w:color="auto" w:frame="1"/>
        </w:rPr>
        <w:t>have to</w:t>
      </w:r>
      <w:proofErr w:type="gramEnd"/>
      <w:r>
        <w:rPr>
          <w:color w:val="000000"/>
          <w:sz w:val="23"/>
          <w:szCs w:val="23"/>
          <w:bdr w:val="none" w:sz="0" w:space="0" w:color="auto" w:frame="1"/>
        </w:rPr>
        <w:t xml:space="preserve"> get additional financing is measured by the quick ratio. Looking the CDW’s quick ratio from 2018 it is 1.14 and in 2019 it was 1.02. The decrease in the quick ratio over a one-year period is a representation that the company is struggling to pay its debts. Regarding the liabilities-to-equity ratio, in 2018 their ratio was at 3.48 and in 2019 increased slightly to 3.69. To a business, the higher the ratio indicates the higher risk and that the company is financing its </w:t>
      </w:r>
      <w:r>
        <w:rPr>
          <w:color w:val="000000"/>
          <w:sz w:val="23"/>
          <w:szCs w:val="23"/>
          <w:bdr w:val="none" w:sz="0" w:space="0" w:color="auto" w:frame="1"/>
        </w:rPr>
        <w:lastRenderedPageBreak/>
        <w:t xml:space="preserve">growth with more debt. </w:t>
      </w:r>
      <w:proofErr w:type="gramStart"/>
      <w:r>
        <w:rPr>
          <w:color w:val="000000"/>
          <w:sz w:val="23"/>
          <w:szCs w:val="23"/>
          <w:bdr w:val="none" w:sz="0" w:space="0" w:color="auto" w:frame="1"/>
        </w:rPr>
        <w:t>Overall</w:t>
      </w:r>
      <w:proofErr w:type="gramEnd"/>
      <w:r>
        <w:rPr>
          <w:color w:val="000000"/>
          <w:sz w:val="23"/>
          <w:szCs w:val="23"/>
          <w:bdr w:val="none" w:sz="0" w:space="0" w:color="auto" w:frame="1"/>
        </w:rPr>
        <w:t xml:space="preserve"> the company’s financial leverage is coming from their liabilities more instead of their equity. </w:t>
      </w:r>
    </w:p>
    <w:p w14:paraId="6AEA7544" w14:textId="77777777" w:rsidR="006A16F4" w:rsidRDefault="006A16F4" w:rsidP="006A16F4">
      <w:pPr>
        <w:pStyle w:val="NormalWeb"/>
        <w:numPr>
          <w:ilvl w:val="0"/>
          <w:numId w:val="5"/>
        </w:numPr>
        <w:shd w:val="clear" w:color="auto" w:fill="E6E6E6"/>
        <w:spacing w:before="0" w:beforeAutospacing="0" w:after="0" w:afterAutospacing="0"/>
        <w:rPr>
          <w:rFonts w:ascii="Georgia" w:hAnsi="Georgia"/>
          <w:color w:val="000000"/>
          <w:sz w:val="23"/>
          <w:szCs w:val="23"/>
        </w:rPr>
      </w:pPr>
    </w:p>
    <w:p w14:paraId="542DAFDE" w14:textId="1DB0BB13" w:rsidR="006A16F4" w:rsidRDefault="006A16F4" w:rsidP="006A16F4">
      <w:pPr>
        <w:pStyle w:val="NormalWeb"/>
        <w:shd w:val="clear" w:color="auto" w:fill="E6E6E6"/>
        <w:spacing w:before="0" w:beforeAutospacing="0" w:after="0" w:afterAutospacing="0"/>
        <w:rPr>
          <w:color w:val="000000"/>
          <w:sz w:val="23"/>
          <w:szCs w:val="23"/>
          <w:bdr w:val="none" w:sz="0" w:space="0" w:color="auto" w:frame="1"/>
        </w:rPr>
      </w:pPr>
      <w:r>
        <w:rPr>
          <w:color w:val="000000"/>
          <w:sz w:val="23"/>
          <w:szCs w:val="23"/>
          <w:bdr w:val="none" w:sz="0" w:space="0" w:color="auto" w:frame="1"/>
        </w:rPr>
        <w:t xml:space="preserve">2. The CDW Corporation finances their assets through their senior credit facility. It is stated that they also used their assets for collateral. Thus, if they are unable to pay back their lenders, they will lose their assets they used to gain the financial borrowings they obtained from creditors. They </w:t>
      </w:r>
      <w:proofErr w:type="gramStart"/>
      <w:r>
        <w:rPr>
          <w:color w:val="000000"/>
          <w:sz w:val="23"/>
          <w:szCs w:val="23"/>
          <w:bdr w:val="none" w:sz="0" w:space="0" w:color="auto" w:frame="1"/>
        </w:rPr>
        <w:t>are able to</w:t>
      </w:r>
      <w:proofErr w:type="gramEnd"/>
      <w:r>
        <w:rPr>
          <w:color w:val="000000"/>
          <w:sz w:val="23"/>
          <w:szCs w:val="23"/>
          <w:bdr w:val="none" w:sz="0" w:space="0" w:color="auto" w:frame="1"/>
        </w:rPr>
        <w:t xml:space="preserve"> finance their operations and capital expenditures with internally generated cash from operations. As of December 31, 2019, we also have $1.0 billion of availability for borrowings under their senior secured asset-based revolving credit facility and an additional £50 million ($66 million </w:t>
      </w:r>
      <w:proofErr w:type="gramStart"/>
      <w:r>
        <w:rPr>
          <w:color w:val="000000"/>
          <w:sz w:val="23"/>
          <w:szCs w:val="23"/>
          <w:bdr w:val="none" w:sz="0" w:space="0" w:color="auto" w:frame="1"/>
        </w:rPr>
        <w:t>at</w:t>
      </w:r>
      <w:proofErr w:type="gramEnd"/>
      <w:r>
        <w:rPr>
          <w:color w:val="000000"/>
          <w:sz w:val="23"/>
          <w:szCs w:val="23"/>
          <w:bdr w:val="none" w:sz="0" w:space="0" w:color="auto" w:frame="1"/>
        </w:rPr>
        <w:t xml:space="preserve"> December 31, 2019) under the CDW UK revolving credit facility. </w:t>
      </w:r>
    </w:p>
    <w:p w14:paraId="2005771C" w14:textId="77777777" w:rsidR="006A16F4" w:rsidRDefault="006A16F4" w:rsidP="006A16F4">
      <w:pPr>
        <w:pStyle w:val="NormalWeb"/>
        <w:shd w:val="clear" w:color="auto" w:fill="E6E6E6"/>
        <w:spacing w:before="0" w:beforeAutospacing="0" w:after="0" w:afterAutospacing="0"/>
        <w:rPr>
          <w:rFonts w:ascii="Georgia" w:hAnsi="Georgia"/>
          <w:color w:val="000000"/>
          <w:sz w:val="23"/>
          <w:szCs w:val="23"/>
        </w:rPr>
      </w:pPr>
    </w:p>
    <w:p w14:paraId="77C0AA97" w14:textId="77777777" w:rsidR="006A16F4" w:rsidRDefault="006A16F4" w:rsidP="006A16F4">
      <w:pPr>
        <w:pStyle w:val="NormalWeb"/>
        <w:shd w:val="clear" w:color="auto" w:fill="E6E6E6"/>
        <w:spacing w:before="0" w:beforeAutospacing="0" w:after="0" w:afterAutospacing="0"/>
        <w:rPr>
          <w:rFonts w:ascii="Georgia" w:hAnsi="Georgia"/>
          <w:color w:val="000000"/>
          <w:sz w:val="23"/>
          <w:szCs w:val="23"/>
        </w:rPr>
      </w:pPr>
      <w:r>
        <w:rPr>
          <w:color w:val="000000"/>
          <w:sz w:val="23"/>
          <w:szCs w:val="23"/>
          <w:bdr w:val="none" w:sz="0" w:space="0" w:color="auto" w:frame="1"/>
        </w:rPr>
        <w:t xml:space="preserve">3.My decision is based </w:t>
      </w:r>
      <w:proofErr w:type="gramStart"/>
      <w:r>
        <w:rPr>
          <w:color w:val="000000"/>
          <w:sz w:val="23"/>
          <w:szCs w:val="23"/>
          <w:bdr w:val="none" w:sz="0" w:space="0" w:color="auto" w:frame="1"/>
        </w:rPr>
        <w:t>off of</w:t>
      </w:r>
      <w:proofErr w:type="gramEnd"/>
      <w:r>
        <w:rPr>
          <w:color w:val="000000"/>
          <w:sz w:val="23"/>
          <w:szCs w:val="23"/>
          <w:bdr w:val="none" w:sz="0" w:space="0" w:color="auto" w:frame="1"/>
        </w:rPr>
        <w:t xml:space="preserve"> the CDW’s EBITDA numbers. In 2017 their earnings before interest, taxes, depreciation, and amortization was $1,072.1 million then increased the following year in 2018 to $1,254.7 million. Then, in 2019 it increased a second time to $1,376.2 million. Based off these numbers </w:t>
      </w:r>
      <w:proofErr w:type="gramStart"/>
      <w:r>
        <w:rPr>
          <w:color w:val="000000"/>
          <w:sz w:val="23"/>
          <w:szCs w:val="23"/>
          <w:bdr w:val="none" w:sz="0" w:space="0" w:color="auto" w:frame="1"/>
        </w:rPr>
        <w:t>it is clear that their</w:t>
      </w:r>
      <w:proofErr w:type="gramEnd"/>
      <w:r>
        <w:rPr>
          <w:color w:val="000000"/>
          <w:sz w:val="23"/>
          <w:szCs w:val="23"/>
          <w:bdr w:val="none" w:sz="0" w:space="0" w:color="auto" w:frame="1"/>
        </w:rPr>
        <w:t xml:space="preserve"> performance is paying off because they are making wholesome profits. I would lend to my company because it seems that they are growing over the years and will become even more profitable if their numbers keep on going up</w:t>
      </w:r>
    </w:p>
    <w:p w14:paraId="0420FE1B" w14:textId="106A5DC3" w:rsidR="006A16F4" w:rsidRDefault="006A16F4" w:rsidP="006A16F4"/>
    <w:p w14:paraId="5B9BB4B7" w14:textId="2720050F" w:rsidR="006A16F4" w:rsidRDefault="006A16F4" w:rsidP="006A16F4"/>
    <w:p w14:paraId="126ECABF" w14:textId="7E7B6723" w:rsidR="006A16F4" w:rsidRDefault="006A16F4" w:rsidP="006A16F4">
      <w:r>
        <w:t>Example 3</w:t>
      </w:r>
    </w:p>
    <w:p w14:paraId="2F992148" w14:textId="77777777" w:rsidR="006A16F4" w:rsidRPr="006A16F4" w:rsidRDefault="006A16F4" w:rsidP="006A16F4">
      <w:pPr>
        <w:shd w:val="clear" w:color="auto" w:fill="FFFFFF"/>
        <w:spacing w:after="0" w:line="240" w:lineRule="auto"/>
        <w:rPr>
          <w:rFonts w:ascii="Georgia" w:eastAsia="Times New Roman" w:hAnsi="Georgia" w:cs="Times New Roman"/>
          <w:color w:val="000000"/>
          <w:sz w:val="23"/>
          <w:szCs w:val="23"/>
        </w:rPr>
      </w:pPr>
      <w:r w:rsidRPr="006A16F4">
        <w:rPr>
          <w:rFonts w:ascii="Times New Roman" w:eastAsia="Times New Roman" w:hAnsi="Times New Roman" w:cs="Times New Roman"/>
          <w:b/>
          <w:bCs/>
          <w:color w:val="000000"/>
          <w:sz w:val="24"/>
          <w:szCs w:val="24"/>
          <w:bdr w:val="none" w:sz="0" w:space="0" w:color="auto" w:frame="1"/>
        </w:rPr>
        <w:t>Discussion 3: Carrier Global Corporation</w:t>
      </w:r>
    </w:p>
    <w:p w14:paraId="209E9AB4" w14:textId="77777777" w:rsidR="006A16F4" w:rsidRPr="006A16F4" w:rsidRDefault="006A16F4" w:rsidP="006A16F4">
      <w:pPr>
        <w:shd w:val="clear" w:color="auto" w:fill="FFFFFF"/>
        <w:spacing w:after="0" w:line="240" w:lineRule="auto"/>
        <w:rPr>
          <w:rFonts w:ascii="Georgia" w:eastAsia="Times New Roman" w:hAnsi="Georgia" w:cs="Times New Roman"/>
          <w:color w:val="000000"/>
          <w:sz w:val="23"/>
          <w:szCs w:val="23"/>
        </w:rPr>
      </w:pPr>
      <w:r w:rsidRPr="006A16F4">
        <w:rPr>
          <w:rFonts w:ascii="Times New Roman" w:eastAsia="Times New Roman" w:hAnsi="Times New Roman" w:cs="Times New Roman"/>
          <w:b/>
          <w:bCs/>
          <w:color w:val="000000"/>
          <w:sz w:val="24"/>
          <w:szCs w:val="24"/>
          <w:bdr w:val="none" w:sz="0" w:space="0" w:color="auto" w:frame="1"/>
        </w:rPr>
        <w:t> </w:t>
      </w:r>
    </w:p>
    <w:p w14:paraId="7FA1B32B" w14:textId="77777777" w:rsidR="006A16F4" w:rsidRPr="006A16F4" w:rsidRDefault="006A16F4" w:rsidP="006A16F4">
      <w:pPr>
        <w:numPr>
          <w:ilvl w:val="0"/>
          <w:numId w:val="6"/>
        </w:numPr>
        <w:shd w:val="clear" w:color="auto" w:fill="FFFFFF"/>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Is your company able to meet its obligations for the next 12 months?</w:t>
      </w:r>
    </w:p>
    <w:p w14:paraId="79637945" w14:textId="77777777" w:rsidR="006A16F4" w:rsidRPr="006A16F4" w:rsidRDefault="006A16F4" w:rsidP="006A16F4">
      <w:pPr>
        <w:numPr>
          <w:ilvl w:val="0"/>
          <w:numId w:val="6"/>
        </w:numPr>
        <w:shd w:val="clear" w:color="auto" w:fill="FFFFFF"/>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Who is financing more the assets, external investors or banks, shareholders or suppliers?</w:t>
      </w:r>
    </w:p>
    <w:p w14:paraId="7830479F" w14:textId="77777777" w:rsidR="006A16F4" w:rsidRPr="006A16F4" w:rsidRDefault="006A16F4" w:rsidP="006A16F4">
      <w:pPr>
        <w:numPr>
          <w:ilvl w:val="0"/>
          <w:numId w:val="6"/>
        </w:numPr>
        <w:shd w:val="clear" w:color="auto" w:fill="FFFFFF"/>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If you were a Banker are you willing to lend to your company?</w:t>
      </w:r>
    </w:p>
    <w:p w14:paraId="6F388CD4" w14:textId="77777777" w:rsidR="006A16F4" w:rsidRPr="006A16F4" w:rsidRDefault="006A16F4" w:rsidP="006A16F4">
      <w:pPr>
        <w:shd w:val="clear" w:color="auto" w:fill="FFFFFF"/>
        <w:spacing w:after="0" w:line="240" w:lineRule="auto"/>
        <w:rPr>
          <w:rFonts w:ascii="Georgia" w:eastAsia="Times New Roman" w:hAnsi="Georgia" w:cs="Times New Roman"/>
          <w:color w:val="000000"/>
          <w:sz w:val="23"/>
          <w:szCs w:val="23"/>
        </w:rPr>
      </w:pPr>
      <w:r w:rsidRPr="006A16F4">
        <w:rPr>
          <w:rFonts w:ascii="Times New Roman" w:eastAsia="Times New Roman" w:hAnsi="Times New Roman" w:cs="Times New Roman"/>
          <w:color w:val="000000"/>
          <w:sz w:val="24"/>
          <w:szCs w:val="24"/>
          <w:bdr w:val="none" w:sz="0" w:space="0" w:color="auto" w:frame="1"/>
        </w:rPr>
        <w:t> </w:t>
      </w:r>
    </w:p>
    <w:tbl>
      <w:tblPr>
        <w:tblW w:w="10350" w:type="dxa"/>
        <w:shd w:val="clear" w:color="auto" w:fill="FFFFFF"/>
        <w:tblCellMar>
          <w:left w:w="0" w:type="dxa"/>
          <w:right w:w="0" w:type="dxa"/>
        </w:tblCellMar>
        <w:tblLook w:val="04A0" w:firstRow="1" w:lastRow="0" w:firstColumn="1" w:lastColumn="0" w:noHBand="0" w:noVBand="1"/>
      </w:tblPr>
      <w:tblGrid>
        <w:gridCol w:w="4140"/>
        <w:gridCol w:w="2880"/>
        <w:gridCol w:w="3330"/>
      </w:tblGrid>
      <w:tr w:rsidR="006A16F4" w:rsidRPr="006A16F4" w14:paraId="656A9A25" w14:textId="77777777" w:rsidTr="006A16F4">
        <w:tc>
          <w:tcPr>
            <w:tcW w:w="41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7F9AC6"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b/>
                <w:bCs/>
                <w:color w:val="000000"/>
                <w:sz w:val="24"/>
                <w:szCs w:val="24"/>
                <w:bdr w:val="none" w:sz="0" w:space="0" w:color="auto" w:frame="1"/>
              </w:rPr>
              <w:t>Question #/Answer</w:t>
            </w:r>
          </w:p>
        </w:tc>
        <w:tc>
          <w:tcPr>
            <w:tcW w:w="28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5617E37"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b/>
                <w:bCs/>
                <w:color w:val="000000"/>
                <w:sz w:val="24"/>
                <w:szCs w:val="24"/>
                <w:bdr w:val="none" w:sz="0" w:space="0" w:color="auto" w:frame="1"/>
              </w:rPr>
              <w:t>Calculation or Ratio Used</w:t>
            </w:r>
          </w:p>
        </w:tc>
        <w:tc>
          <w:tcPr>
            <w:tcW w:w="33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833C71E"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b/>
                <w:bCs/>
                <w:color w:val="000000"/>
                <w:sz w:val="24"/>
                <w:szCs w:val="24"/>
                <w:bdr w:val="none" w:sz="0" w:space="0" w:color="auto" w:frame="1"/>
              </w:rPr>
              <w:t>Reason or Logic Used</w:t>
            </w:r>
          </w:p>
        </w:tc>
      </w:tr>
      <w:tr w:rsidR="006A16F4" w:rsidRPr="006A16F4" w14:paraId="5185502A" w14:textId="77777777" w:rsidTr="006A16F4">
        <w:tc>
          <w:tcPr>
            <w:tcW w:w="41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A86BE3" w14:textId="77777777" w:rsidR="006A16F4" w:rsidRPr="006A16F4" w:rsidRDefault="006A16F4" w:rsidP="006A16F4">
            <w:pPr>
              <w:numPr>
                <w:ilvl w:val="0"/>
                <w:numId w:val="7"/>
              </w:numPr>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 xml:space="preserve">Yes, Carrier </w:t>
            </w:r>
            <w:proofErr w:type="gramStart"/>
            <w:r w:rsidRPr="006A16F4">
              <w:rPr>
                <w:rFonts w:ascii="Times New Roman" w:eastAsia="Times New Roman" w:hAnsi="Times New Roman" w:cs="Times New Roman"/>
                <w:color w:val="000000"/>
                <w:sz w:val="24"/>
                <w:szCs w:val="24"/>
                <w:bdr w:val="none" w:sz="0" w:space="0" w:color="auto" w:frame="1"/>
              </w:rPr>
              <w:t>is able to</w:t>
            </w:r>
            <w:proofErr w:type="gramEnd"/>
            <w:r w:rsidRPr="006A16F4">
              <w:rPr>
                <w:rFonts w:ascii="Times New Roman" w:eastAsia="Times New Roman" w:hAnsi="Times New Roman" w:cs="Times New Roman"/>
                <w:color w:val="000000"/>
                <w:sz w:val="24"/>
                <w:szCs w:val="24"/>
                <w:bdr w:val="none" w:sz="0" w:space="0" w:color="auto" w:frame="1"/>
              </w:rPr>
              <w:t xml:space="preserve"> meet its obligations for the next 12 months. The current ratio for Carrier is 2.81 which indicates that Carrier seems reasonably liquid because its current ratio exceeds 1.0.</w:t>
            </w:r>
          </w:p>
          <w:p w14:paraId="693FB343"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 </w:t>
            </w:r>
          </w:p>
        </w:tc>
        <w:tc>
          <w:tcPr>
            <w:tcW w:w="28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CCFC56"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Current ratio= Total asset/current liabilities</w:t>
            </w:r>
          </w:p>
          <w:p w14:paraId="11F957C5"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=22,406/7,971</w:t>
            </w:r>
          </w:p>
          <w:p w14:paraId="25A8E2F4"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=2.81</w:t>
            </w:r>
          </w:p>
          <w:p w14:paraId="5B1781EE"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 </w:t>
            </w:r>
          </w:p>
        </w:tc>
        <w:tc>
          <w:tcPr>
            <w:tcW w:w="33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E078C1"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Working capital, total assets over current liabilities, is positive, 2.81, which infers more projected cash inflows than cash outflows within a short period of time.  </w:t>
            </w:r>
          </w:p>
        </w:tc>
      </w:tr>
      <w:tr w:rsidR="006A16F4" w:rsidRPr="006A16F4" w14:paraId="411F12D2" w14:textId="77777777" w:rsidTr="006A16F4">
        <w:tc>
          <w:tcPr>
            <w:tcW w:w="41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61431D" w14:textId="77777777" w:rsidR="006A16F4" w:rsidRPr="006A16F4" w:rsidRDefault="006A16F4" w:rsidP="006A16F4">
            <w:pPr>
              <w:numPr>
                <w:ilvl w:val="0"/>
                <w:numId w:val="8"/>
              </w:numPr>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t>Primarily banks are financing more than any other. $11.4 billion were provided and note agreements between Carrier and financial institutions such as Bank of New York Mellon Trust Company, N.A. and JP Morgan Chase Bank, N.A. Stockholders are also financing Carrier (Simply Wall, 2020).</w:t>
            </w:r>
          </w:p>
          <w:p w14:paraId="68585991"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 </w:t>
            </w:r>
          </w:p>
        </w:tc>
        <w:tc>
          <w:tcPr>
            <w:tcW w:w="28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710C10"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Cash from operations to total debt = Cash from operations/Short-term debt + long-term debt</w:t>
            </w:r>
          </w:p>
          <w:p w14:paraId="2BE87A03"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=2,002</w:t>
            </w:r>
            <w:proofErr w:type="gramStart"/>
            <w:r w:rsidRPr="006A16F4">
              <w:rPr>
                <w:rFonts w:ascii="Times New Roman" w:eastAsia="Times New Roman" w:hAnsi="Times New Roman" w:cs="Times New Roman"/>
                <w:color w:val="000000"/>
                <w:sz w:val="24"/>
                <w:szCs w:val="24"/>
                <w:bdr w:val="none" w:sz="0" w:space="0" w:color="auto" w:frame="1"/>
              </w:rPr>
              <w:t>/(</w:t>
            </w:r>
            <w:proofErr w:type="gramEnd"/>
            <w:r w:rsidRPr="006A16F4">
              <w:rPr>
                <w:rFonts w:ascii="Times New Roman" w:eastAsia="Times New Roman" w:hAnsi="Times New Roman" w:cs="Times New Roman"/>
                <w:color w:val="000000"/>
                <w:sz w:val="24"/>
                <w:szCs w:val="24"/>
                <w:bdr w:val="none" w:sz="0" w:space="0" w:color="auto" w:frame="1"/>
              </w:rPr>
              <w:t>274+11,023)</w:t>
            </w:r>
          </w:p>
          <w:p w14:paraId="109D8169"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=17.7%</w:t>
            </w:r>
          </w:p>
        </w:tc>
        <w:tc>
          <w:tcPr>
            <w:tcW w:w="33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7A5517"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Banks structure financing to satisfy clients need. Term loans specify period payments of capital and interest with fixed interest rates. Carrier has a 17.7% ratio which is the ability to repay in short and long term its financial obligations to include capital and interest to the financial institutions.</w:t>
            </w:r>
          </w:p>
        </w:tc>
      </w:tr>
      <w:tr w:rsidR="006A16F4" w:rsidRPr="006A16F4" w14:paraId="7308DBC2" w14:textId="77777777" w:rsidTr="006A16F4">
        <w:tc>
          <w:tcPr>
            <w:tcW w:w="41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21D65B" w14:textId="77777777" w:rsidR="006A16F4" w:rsidRPr="006A16F4" w:rsidRDefault="006A16F4" w:rsidP="006A16F4">
            <w:pPr>
              <w:numPr>
                <w:ilvl w:val="0"/>
                <w:numId w:val="9"/>
              </w:numPr>
              <w:spacing w:after="0" w:line="240" w:lineRule="auto"/>
              <w:ind w:left="0"/>
              <w:rPr>
                <w:rFonts w:ascii="inherit" w:eastAsia="Times New Roman" w:hAnsi="inherit" w:cs="Tahoma"/>
                <w:color w:val="000000"/>
                <w:sz w:val="20"/>
                <w:szCs w:val="20"/>
              </w:rPr>
            </w:pPr>
            <w:r w:rsidRPr="006A16F4">
              <w:rPr>
                <w:rFonts w:ascii="Times New Roman" w:eastAsia="Times New Roman" w:hAnsi="Times New Roman" w:cs="Times New Roman"/>
                <w:color w:val="000000"/>
                <w:sz w:val="24"/>
                <w:szCs w:val="24"/>
                <w:bdr w:val="none" w:sz="0" w:space="0" w:color="auto" w:frame="1"/>
              </w:rPr>
              <w:lastRenderedPageBreak/>
              <w:t>Yes, I am willing to provide loans to Carrier because Carrier is a publicly traded company, and the 0.55 ratio indicates how trusting is Carrier on creditor financing.</w:t>
            </w:r>
          </w:p>
        </w:tc>
        <w:tc>
          <w:tcPr>
            <w:tcW w:w="28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29599F"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Liabilities-to-equity ratio=Total liabilities/shareholders’ equity</w:t>
            </w:r>
          </w:p>
          <w:p w14:paraId="065FE635"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=7,971/14,435</w:t>
            </w:r>
          </w:p>
          <w:p w14:paraId="280F30A2"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=0.55</w:t>
            </w:r>
          </w:p>
        </w:tc>
        <w:tc>
          <w:tcPr>
            <w:tcW w:w="33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C98539" w14:textId="77777777" w:rsidR="006A16F4" w:rsidRPr="006A16F4" w:rsidRDefault="006A16F4" w:rsidP="006A16F4">
            <w:pPr>
              <w:spacing w:after="0" w:line="240" w:lineRule="auto"/>
              <w:rPr>
                <w:rFonts w:ascii="Georgia" w:eastAsia="Times New Roman" w:hAnsi="Georgia" w:cs="Tahoma"/>
                <w:color w:val="000000"/>
                <w:sz w:val="23"/>
                <w:szCs w:val="23"/>
              </w:rPr>
            </w:pPr>
            <w:r w:rsidRPr="006A16F4">
              <w:rPr>
                <w:rFonts w:ascii="Times New Roman" w:eastAsia="Times New Roman" w:hAnsi="Times New Roman" w:cs="Times New Roman"/>
                <w:color w:val="000000"/>
                <w:sz w:val="24"/>
                <w:szCs w:val="24"/>
                <w:bdr w:val="none" w:sz="0" w:space="0" w:color="auto" w:frame="1"/>
              </w:rPr>
              <w:t>Extended period solvency analysis reflects the possibility of a business to pay its obligations including principal and interest. The median ratio of liabilities-to-equity ratio is usually less than 1.0 for publicly traded companies, Carrier.</w:t>
            </w:r>
          </w:p>
        </w:tc>
      </w:tr>
    </w:tbl>
    <w:p w14:paraId="35E38B93" w14:textId="77777777" w:rsidR="006A16F4" w:rsidRPr="006A16F4" w:rsidRDefault="006A16F4" w:rsidP="006A16F4">
      <w:pPr>
        <w:shd w:val="clear" w:color="auto" w:fill="FFFFFF"/>
        <w:spacing w:after="0" w:line="240" w:lineRule="auto"/>
        <w:rPr>
          <w:rFonts w:ascii="Georgia" w:eastAsia="Times New Roman" w:hAnsi="Georgia" w:cs="Times New Roman"/>
          <w:color w:val="000000"/>
          <w:sz w:val="23"/>
          <w:szCs w:val="23"/>
        </w:rPr>
      </w:pPr>
      <w:r w:rsidRPr="006A16F4">
        <w:rPr>
          <w:rFonts w:ascii="Times New Roman" w:eastAsia="Times New Roman" w:hAnsi="Times New Roman" w:cs="Times New Roman"/>
          <w:color w:val="000000"/>
          <w:sz w:val="24"/>
          <w:szCs w:val="24"/>
          <w:bdr w:val="none" w:sz="0" w:space="0" w:color="auto" w:frame="1"/>
        </w:rPr>
        <w:t> </w:t>
      </w:r>
    </w:p>
    <w:p w14:paraId="5F309C21" w14:textId="2FB0ACC7" w:rsidR="006A16F4" w:rsidRDefault="006A16F4" w:rsidP="006A16F4"/>
    <w:p w14:paraId="27E11B52" w14:textId="00AAAD52" w:rsidR="006A16F4" w:rsidRDefault="006A16F4" w:rsidP="006A16F4">
      <w:r>
        <w:t xml:space="preserve">Example 4 </w:t>
      </w:r>
    </w:p>
    <w:p w14:paraId="3BDF12D4" w14:textId="77777777" w:rsidR="006A16F4" w:rsidRPr="006A16F4" w:rsidRDefault="006A16F4" w:rsidP="006A16F4">
      <w:pPr>
        <w:shd w:val="clear" w:color="auto" w:fill="E6E6E6"/>
        <w:spacing w:after="240" w:line="240" w:lineRule="auto"/>
        <w:rPr>
          <w:rFonts w:ascii="Georgia" w:eastAsia="Times New Roman" w:hAnsi="Georgia" w:cs="Times New Roman"/>
          <w:color w:val="000000"/>
          <w:sz w:val="23"/>
          <w:szCs w:val="23"/>
        </w:rPr>
      </w:pPr>
      <w:r w:rsidRPr="006A16F4">
        <w:rPr>
          <w:rFonts w:ascii="Georgia" w:eastAsia="Times New Roman" w:hAnsi="Georgia" w:cs="Times New Roman"/>
          <w:color w:val="000000"/>
          <w:sz w:val="23"/>
          <w:szCs w:val="23"/>
        </w:rPr>
        <w:t>Amazon is well off to meet its financial obligations for the next 12 months.</w:t>
      </w:r>
    </w:p>
    <w:p w14:paraId="77E22EB2" w14:textId="77777777" w:rsidR="006A16F4" w:rsidRPr="006A16F4" w:rsidRDefault="006A16F4" w:rsidP="006A16F4">
      <w:pPr>
        <w:shd w:val="clear" w:color="auto" w:fill="E6E6E6"/>
        <w:spacing w:after="240" w:line="240" w:lineRule="auto"/>
        <w:rPr>
          <w:rFonts w:ascii="Georgia" w:eastAsia="Times New Roman" w:hAnsi="Georgia" w:cs="Times New Roman"/>
          <w:color w:val="000000"/>
          <w:sz w:val="23"/>
          <w:szCs w:val="23"/>
        </w:rPr>
      </w:pPr>
      <w:r w:rsidRPr="006A16F4">
        <w:rPr>
          <w:rFonts w:ascii="Georgia" w:eastAsia="Times New Roman" w:hAnsi="Georgia" w:cs="Times New Roman"/>
          <w:color w:val="000000"/>
          <w:sz w:val="23"/>
          <w:szCs w:val="23"/>
        </w:rPr>
        <w:t xml:space="preserve">Amazon’s 2019 current ratio is at 1.1. This figure has stayed relatively consistent from 1.04 in 2017 and 1.09 in 2018. This current ratio indicates Amazon </w:t>
      </w:r>
      <w:proofErr w:type="gramStart"/>
      <w:r w:rsidRPr="006A16F4">
        <w:rPr>
          <w:rFonts w:ascii="Georgia" w:eastAsia="Times New Roman" w:hAnsi="Georgia" w:cs="Times New Roman"/>
          <w:color w:val="000000"/>
          <w:sz w:val="23"/>
          <w:szCs w:val="23"/>
        </w:rPr>
        <w:t>is able to</w:t>
      </w:r>
      <w:proofErr w:type="gramEnd"/>
      <w:r w:rsidRPr="006A16F4">
        <w:rPr>
          <w:rFonts w:ascii="Georgia" w:eastAsia="Times New Roman" w:hAnsi="Georgia" w:cs="Times New Roman"/>
          <w:color w:val="000000"/>
          <w:sz w:val="23"/>
          <w:szCs w:val="23"/>
        </w:rPr>
        <w:t xml:space="preserve"> convert its current assets into cash relatively quickly to be able to cover its current liabilities for the next 12 months. Without considering inventory, Amazon’s quick ratio is also positive. It has increased from 0.76 in 2017 and 0.85 in 2018 to 0.86 in 2019. This quick ratio states that with any sales of inventory, they are at a good standing of covering most of the company’s current liabilities with just cash, marketable securities, and accounts receivables.</w:t>
      </w:r>
    </w:p>
    <w:p w14:paraId="3B266125" w14:textId="77777777" w:rsidR="006A16F4" w:rsidRPr="006A16F4" w:rsidRDefault="006A16F4" w:rsidP="006A16F4">
      <w:pPr>
        <w:shd w:val="clear" w:color="auto" w:fill="E6E6E6"/>
        <w:spacing w:after="240" w:line="240" w:lineRule="auto"/>
        <w:rPr>
          <w:rFonts w:ascii="Georgia" w:eastAsia="Times New Roman" w:hAnsi="Georgia" w:cs="Times New Roman"/>
          <w:color w:val="000000"/>
          <w:sz w:val="23"/>
          <w:szCs w:val="23"/>
        </w:rPr>
      </w:pPr>
      <w:r w:rsidRPr="006A16F4">
        <w:rPr>
          <w:rFonts w:ascii="Georgia" w:eastAsia="Times New Roman" w:hAnsi="Georgia" w:cs="Times New Roman"/>
          <w:color w:val="000000"/>
          <w:sz w:val="23"/>
          <w:szCs w:val="23"/>
        </w:rPr>
        <w:t> 2.</w:t>
      </w:r>
    </w:p>
    <w:p w14:paraId="4A69934B" w14:textId="77777777" w:rsidR="006A16F4" w:rsidRPr="006A16F4" w:rsidRDefault="006A16F4" w:rsidP="006A16F4">
      <w:pPr>
        <w:shd w:val="clear" w:color="auto" w:fill="E6E6E6"/>
        <w:spacing w:after="0" w:line="240" w:lineRule="auto"/>
        <w:rPr>
          <w:rFonts w:ascii="Georgia" w:eastAsia="Times New Roman" w:hAnsi="Georgia" w:cs="Times New Roman"/>
          <w:color w:val="000000"/>
          <w:sz w:val="23"/>
          <w:szCs w:val="23"/>
        </w:rPr>
      </w:pPr>
      <w:r w:rsidRPr="006A16F4">
        <w:rPr>
          <w:rFonts w:ascii="Helvetica" w:eastAsia="Times New Roman" w:hAnsi="Helvetica" w:cs="Times New Roman"/>
          <w:color w:val="000000"/>
          <w:sz w:val="20"/>
          <w:szCs w:val="20"/>
          <w:bdr w:val="none" w:sz="0" w:space="0" w:color="auto" w:frame="1"/>
        </w:rPr>
        <w:t>External banks provide most of the funding to Amazon's assets through bank notes. However,</w:t>
      </w:r>
      <w:r w:rsidRPr="006A16F4">
        <w:rPr>
          <w:rFonts w:ascii="Georgia" w:eastAsia="Times New Roman" w:hAnsi="Georgia" w:cs="Times New Roman"/>
          <w:color w:val="000000"/>
          <w:sz w:val="23"/>
          <w:szCs w:val="23"/>
        </w:rPr>
        <w:t> looking at the solvency of the company, Amazon is becoming increasingly more financed by stockholders as the years pass.</w:t>
      </w:r>
    </w:p>
    <w:p w14:paraId="4F448FB1" w14:textId="77777777" w:rsidR="006A16F4" w:rsidRPr="006A16F4" w:rsidRDefault="006A16F4" w:rsidP="006A16F4">
      <w:pPr>
        <w:shd w:val="clear" w:color="auto" w:fill="E6E6E6"/>
        <w:spacing w:after="240" w:line="240" w:lineRule="auto"/>
        <w:rPr>
          <w:rFonts w:ascii="Georgia" w:eastAsia="Times New Roman" w:hAnsi="Georgia" w:cs="Times New Roman"/>
          <w:color w:val="000000"/>
          <w:sz w:val="23"/>
          <w:szCs w:val="23"/>
        </w:rPr>
      </w:pPr>
      <w:proofErr w:type="gramStart"/>
      <w:r w:rsidRPr="006A16F4">
        <w:rPr>
          <w:rFonts w:ascii="Georgia" w:eastAsia="Times New Roman" w:hAnsi="Georgia" w:cs="Times New Roman"/>
          <w:color w:val="000000"/>
          <w:sz w:val="23"/>
          <w:szCs w:val="23"/>
        </w:rPr>
        <w:t>While ,</w:t>
      </w:r>
      <w:proofErr w:type="gramEnd"/>
      <w:r w:rsidRPr="006A16F4">
        <w:rPr>
          <w:rFonts w:ascii="Georgia" w:eastAsia="Times New Roman" w:hAnsi="Georgia" w:cs="Times New Roman"/>
          <w:color w:val="000000"/>
          <w:sz w:val="23"/>
          <w:szCs w:val="23"/>
        </w:rPr>
        <w:t xml:space="preserve"> stockholders have been having a larger impact with their investments in Amazon. From 2018 to 2019, the total debt to equity ratio decreased from 2.11 to 1.79. This is the result of additional paid-in capital increasing from $26 billion in 2018 to $33 billion in 2019. While long-term debt and long-term lease liabilities are at $62 billion, investors are slowly having a bigger impact into financing Amazon.</w:t>
      </w:r>
    </w:p>
    <w:p w14:paraId="14496547" w14:textId="77777777" w:rsidR="006A16F4" w:rsidRPr="006A16F4" w:rsidRDefault="006A16F4" w:rsidP="006A16F4">
      <w:pPr>
        <w:shd w:val="clear" w:color="auto" w:fill="E6E6E6"/>
        <w:spacing w:after="240" w:line="240" w:lineRule="auto"/>
        <w:rPr>
          <w:rFonts w:ascii="Georgia" w:eastAsia="Times New Roman" w:hAnsi="Georgia" w:cs="Times New Roman"/>
          <w:color w:val="000000"/>
          <w:sz w:val="23"/>
          <w:szCs w:val="23"/>
        </w:rPr>
      </w:pPr>
      <w:r w:rsidRPr="006A16F4">
        <w:rPr>
          <w:rFonts w:ascii="Georgia" w:eastAsia="Times New Roman" w:hAnsi="Georgia" w:cs="Times New Roman"/>
          <w:color w:val="000000"/>
          <w:sz w:val="23"/>
          <w:szCs w:val="23"/>
        </w:rPr>
        <w:t> 3.</w:t>
      </w:r>
    </w:p>
    <w:p w14:paraId="5EBEFE74" w14:textId="77777777" w:rsidR="006A16F4" w:rsidRPr="006A16F4" w:rsidRDefault="006A16F4" w:rsidP="006A16F4">
      <w:pPr>
        <w:shd w:val="clear" w:color="auto" w:fill="E6E6E6"/>
        <w:spacing w:after="0" w:line="240" w:lineRule="auto"/>
        <w:rPr>
          <w:rFonts w:ascii="Georgia" w:eastAsia="Times New Roman" w:hAnsi="Georgia" w:cs="Times New Roman"/>
          <w:color w:val="000000"/>
          <w:sz w:val="23"/>
          <w:szCs w:val="23"/>
        </w:rPr>
      </w:pPr>
      <w:r w:rsidRPr="006A16F4">
        <w:rPr>
          <w:rFonts w:ascii="Calibri" w:eastAsia="Times New Roman" w:hAnsi="Calibri" w:cs="Calibri"/>
          <w:color w:val="000000"/>
          <w:bdr w:val="none" w:sz="0" w:space="0" w:color="auto" w:frame="1"/>
        </w:rPr>
        <w:t>As a bank, I would lend money to Amazon.</w:t>
      </w:r>
    </w:p>
    <w:p w14:paraId="603481AE" w14:textId="77777777" w:rsidR="006A16F4" w:rsidRPr="006A16F4" w:rsidRDefault="006A16F4" w:rsidP="006A16F4">
      <w:pPr>
        <w:shd w:val="clear" w:color="auto" w:fill="E6E6E6"/>
        <w:spacing w:after="0" w:line="240" w:lineRule="auto"/>
        <w:rPr>
          <w:rFonts w:ascii="Georgia" w:eastAsia="Times New Roman" w:hAnsi="Georgia" w:cs="Times New Roman"/>
          <w:color w:val="000000"/>
          <w:sz w:val="23"/>
          <w:szCs w:val="23"/>
        </w:rPr>
      </w:pPr>
      <w:r w:rsidRPr="006A16F4">
        <w:rPr>
          <w:rFonts w:ascii="Calibri" w:eastAsia="Times New Roman" w:hAnsi="Calibri" w:cs="Calibri"/>
          <w:color w:val="000000"/>
          <w:bdr w:val="none" w:sz="0" w:space="0" w:color="auto" w:frame="1"/>
        </w:rPr>
        <w:t>This decision would be based off two ratios. The EBITDA coverage ratio has increased for Amazon in the past three years. It was at 18.38 in 2017, 19.59 in 2018, and 22.71 in 2019. This ratio shows that Amazon has been able to cover more interest expense out of the profits they earn. The increased operating income from $4,106 million in 2017 to $14,541 million in 2019 is evidence as to why their EBITDA coverage ratio has increased steadily over time. The second ratio to analyze would be the free operating cash flow to total debt ratio. This ratio has slowly increased as well from 0.10 in 2017, 0.21 in 2018, and 0.23 in 2019. The increasing coverage ratio shows that Amazon is increasing their “free” cash from operations at a faster rate than they acquire debt. Analyzing both ratios shows that Amazon is a safe bet to lend money towards.</w:t>
      </w:r>
    </w:p>
    <w:p w14:paraId="2EC7D092" w14:textId="77777777" w:rsidR="006A16F4" w:rsidRDefault="006A16F4" w:rsidP="006A16F4"/>
    <w:sectPr w:rsidR="006A1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A01C2"/>
    <w:multiLevelType w:val="multilevel"/>
    <w:tmpl w:val="1C601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280974"/>
    <w:multiLevelType w:val="multilevel"/>
    <w:tmpl w:val="B7E2D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416735"/>
    <w:multiLevelType w:val="hybridMultilevel"/>
    <w:tmpl w:val="DE829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297A36"/>
    <w:multiLevelType w:val="multilevel"/>
    <w:tmpl w:val="72EAE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E31AEE"/>
    <w:multiLevelType w:val="multilevel"/>
    <w:tmpl w:val="8A627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AD2B01"/>
    <w:multiLevelType w:val="multilevel"/>
    <w:tmpl w:val="E0FCE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D677A4"/>
    <w:multiLevelType w:val="multilevel"/>
    <w:tmpl w:val="2A9AA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FD65FD"/>
    <w:multiLevelType w:val="multilevel"/>
    <w:tmpl w:val="C016B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717C0D"/>
    <w:multiLevelType w:val="multilevel"/>
    <w:tmpl w:val="C83C5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num>
  <w:num w:numId="3">
    <w:abstractNumId w:val="4"/>
  </w:num>
  <w:num w:numId="4">
    <w:abstractNumId w:val="1"/>
  </w:num>
  <w:num w:numId="5">
    <w:abstractNumId w:val="2"/>
  </w:num>
  <w:num w:numId="6">
    <w:abstractNumId w:val="7"/>
  </w:num>
  <w:num w:numId="7">
    <w:abstractNumId w:val="5"/>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6F4"/>
    <w:rsid w:val="006A1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BB10"/>
  <w15:chartTrackingRefBased/>
  <w15:docId w15:val="{39B0EDCE-663E-4DA8-BB4D-90914CBA4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6F4"/>
    <w:pPr>
      <w:ind w:left="720"/>
      <w:contextualSpacing/>
    </w:pPr>
  </w:style>
  <w:style w:type="paragraph" w:styleId="NormalWeb">
    <w:name w:val="Normal (Web)"/>
    <w:basedOn w:val="Normal"/>
    <w:uiPriority w:val="99"/>
    <w:semiHidden/>
    <w:unhideWhenUsed/>
    <w:rsid w:val="006A16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465053">
      <w:bodyDiv w:val="1"/>
      <w:marLeft w:val="0"/>
      <w:marRight w:val="0"/>
      <w:marTop w:val="0"/>
      <w:marBottom w:val="0"/>
      <w:divBdr>
        <w:top w:val="none" w:sz="0" w:space="0" w:color="auto"/>
        <w:left w:val="none" w:sz="0" w:space="0" w:color="auto"/>
        <w:bottom w:val="none" w:sz="0" w:space="0" w:color="auto"/>
        <w:right w:val="none" w:sz="0" w:space="0" w:color="auto"/>
      </w:divBdr>
    </w:div>
    <w:div w:id="815147690">
      <w:bodyDiv w:val="1"/>
      <w:marLeft w:val="0"/>
      <w:marRight w:val="0"/>
      <w:marTop w:val="0"/>
      <w:marBottom w:val="0"/>
      <w:divBdr>
        <w:top w:val="none" w:sz="0" w:space="0" w:color="auto"/>
        <w:left w:val="none" w:sz="0" w:space="0" w:color="auto"/>
        <w:bottom w:val="none" w:sz="0" w:space="0" w:color="auto"/>
        <w:right w:val="none" w:sz="0" w:space="0" w:color="auto"/>
      </w:divBdr>
    </w:div>
    <w:div w:id="904879152">
      <w:bodyDiv w:val="1"/>
      <w:marLeft w:val="0"/>
      <w:marRight w:val="0"/>
      <w:marTop w:val="0"/>
      <w:marBottom w:val="0"/>
      <w:divBdr>
        <w:top w:val="none" w:sz="0" w:space="0" w:color="auto"/>
        <w:left w:val="none" w:sz="0" w:space="0" w:color="auto"/>
        <w:bottom w:val="none" w:sz="0" w:space="0" w:color="auto"/>
        <w:right w:val="none" w:sz="0" w:space="0" w:color="auto"/>
      </w:divBdr>
    </w:div>
    <w:div w:id="134836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1270</Words>
  <Characters>7243</Characters>
  <Application>Microsoft Office Word</Application>
  <DocSecurity>0</DocSecurity>
  <Lines>60</Lines>
  <Paragraphs>16</Paragraphs>
  <ScaleCrop>false</ScaleCrop>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Mbu Besong</dc:creator>
  <cp:keywords/>
  <dc:description/>
  <cp:lastModifiedBy>Solomon Mbu Besong</cp:lastModifiedBy>
  <cp:revision>1</cp:revision>
  <dcterms:created xsi:type="dcterms:W3CDTF">2020-09-09T15:52:00Z</dcterms:created>
  <dcterms:modified xsi:type="dcterms:W3CDTF">2020-09-09T15:57:00Z</dcterms:modified>
</cp:coreProperties>
</file>