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Recording, Analyzing and Using HR Information.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Name.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Institution.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Date.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Default="004E52F3" w:rsidP="00AD3EA0">
      <w:pPr>
        <w:spacing w:line="480" w:lineRule="auto"/>
        <w:rPr>
          <w:rFonts w:ascii="Times New Roman" w:hAnsi="Times New Roman" w:cs="Times New Roman"/>
          <w:color w:val="1D1D1D"/>
          <w:sz w:val="24"/>
          <w:szCs w:val="24"/>
          <w:shd w:val="clear" w:color="auto" w:fill="FFFFFF"/>
        </w:rPr>
      </w:pPr>
    </w:p>
    <w:p w:rsidR="00AD3EA0" w:rsidRPr="00AD3EA0" w:rsidRDefault="00AD3EA0" w:rsidP="00AD3EA0">
      <w:pPr>
        <w:spacing w:line="480" w:lineRule="auto"/>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Recording, Analyzing and Using HR Information.</w:t>
      </w:r>
    </w:p>
    <w:p w:rsidR="004E52F3" w:rsidRPr="007615A5"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7615A5">
        <w:rPr>
          <w:rFonts w:ascii="Times New Roman" w:hAnsi="Times New Roman" w:cs="Times New Roman"/>
          <w:b/>
          <w:color w:val="1D1D1D"/>
          <w:sz w:val="24"/>
          <w:szCs w:val="24"/>
          <w:shd w:val="clear" w:color="auto" w:fill="FFFFFF"/>
        </w:rPr>
        <w:t>Activity 1.</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The aspect of data management is quite essential to any business. </w:t>
      </w:r>
      <w:r w:rsidR="00604FB7">
        <w:rPr>
          <w:rFonts w:ascii="Times New Roman" w:hAnsi="Times New Roman" w:cs="Times New Roman"/>
          <w:color w:val="1D1D1D"/>
          <w:sz w:val="24"/>
          <w:szCs w:val="24"/>
          <w:shd w:val="clear" w:color="auto" w:fill="FFFFFF"/>
        </w:rPr>
        <w:t>I</w:t>
      </w:r>
      <w:r w:rsidRPr="00AD3EA0">
        <w:rPr>
          <w:rFonts w:ascii="Times New Roman" w:hAnsi="Times New Roman" w:cs="Times New Roman"/>
          <w:color w:val="1D1D1D"/>
          <w:sz w:val="24"/>
          <w:szCs w:val="24"/>
          <w:shd w:val="clear" w:color="auto" w:fill="FFFFFF"/>
        </w:rPr>
        <w:t>t is</w:t>
      </w:r>
      <w:r w:rsidR="007615A5">
        <w:rPr>
          <w:rFonts w:ascii="Times New Roman" w:hAnsi="Times New Roman" w:cs="Times New Roman"/>
          <w:color w:val="1D1D1D"/>
          <w:sz w:val="24"/>
          <w:szCs w:val="24"/>
          <w:shd w:val="clear" w:color="auto" w:fill="FFFFFF"/>
        </w:rPr>
        <w:t xml:space="preserve"> a </w:t>
      </w:r>
      <w:r w:rsidRPr="00AD3EA0">
        <w:rPr>
          <w:rFonts w:ascii="Times New Roman" w:hAnsi="Times New Roman" w:cs="Times New Roman"/>
          <w:color w:val="1D1D1D"/>
          <w:sz w:val="24"/>
          <w:szCs w:val="24"/>
          <w:shd w:val="clear" w:color="auto" w:fill="FFFFFF"/>
        </w:rPr>
        <w:t xml:space="preserve">fundamental tool for a corporation to strategize its improvements. Data management enables the human resource personnel to </w:t>
      </w:r>
      <w:r w:rsidR="007615A5">
        <w:rPr>
          <w:rFonts w:ascii="Times New Roman" w:hAnsi="Times New Roman" w:cs="Times New Roman"/>
          <w:color w:val="1D1D1D"/>
          <w:sz w:val="24"/>
          <w:szCs w:val="24"/>
          <w:shd w:val="clear" w:color="auto" w:fill="FFFFFF"/>
        </w:rPr>
        <w:t xml:space="preserve">refer back data and then compare it </w:t>
      </w:r>
      <w:r w:rsidRPr="00AD3EA0">
        <w:rPr>
          <w:rFonts w:ascii="Times New Roman" w:hAnsi="Times New Roman" w:cs="Times New Roman"/>
          <w:color w:val="1D1D1D"/>
          <w:sz w:val="24"/>
          <w:szCs w:val="24"/>
          <w:shd w:val="clear" w:color="auto" w:fill="FFFFFF"/>
        </w:rPr>
        <w:t>against benchmarks (Kinman &amp; Wray, 2018).</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Reasons for collecting Human Resource data.</w:t>
      </w:r>
    </w:p>
    <w:p w:rsidR="0096232B" w:rsidRDefault="004E52F3" w:rsidP="0096232B">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One of the reasons is to define absence management. </w:t>
      </w:r>
      <w:r w:rsidR="00604FB7">
        <w:rPr>
          <w:rFonts w:ascii="Times New Roman" w:hAnsi="Times New Roman" w:cs="Times New Roman"/>
          <w:color w:val="1D1D1D"/>
          <w:sz w:val="24"/>
          <w:szCs w:val="24"/>
          <w:shd w:val="clear" w:color="auto" w:fill="FFFFFF"/>
        </w:rPr>
        <w:t>C</w:t>
      </w:r>
      <w:r w:rsidRPr="00AD3EA0">
        <w:rPr>
          <w:rFonts w:ascii="Times New Roman" w:hAnsi="Times New Roman" w:cs="Times New Roman"/>
          <w:color w:val="1D1D1D"/>
          <w:sz w:val="24"/>
          <w:szCs w:val="24"/>
          <w:shd w:val="clear" w:color="auto" w:fill="FFFFFF"/>
        </w:rPr>
        <w:t>ollecting HR data aids in approving the absence of workers in their off</w:t>
      </w:r>
      <w:r w:rsidR="007615A5">
        <w:rPr>
          <w:rFonts w:ascii="Times New Roman" w:hAnsi="Times New Roman" w:cs="Times New Roman"/>
          <w:color w:val="1D1D1D"/>
          <w:sz w:val="24"/>
          <w:szCs w:val="24"/>
          <w:shd w:val="clear" w:color="auto" w:fill="FFFFFF"/>
        </w:rPr>
        <w:t>icial duties. This helps in scraping</w:t>
      </w:r>
      <w:r w:rsidRPr="00AD3EA0">
        <w:rPr>
          <w:rFonts w:ascii="Times New Roman" w:hAnsi="Times New Roman" w:cs="Times New Roman"/>
          <w:color w:val="1D1D1D"/>
          <w:sz w:val="24"/>
          <w:szCs w:val="24"/>
          <w:shd w:val="clear" w:color="auto" w:fill="FFFFFF"/>
        </w:rPr>
        <w:t xml:space="preserve"> crowd</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of problems which might be projected to the organization</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manager. </w:t>
      </w:r>
      <w:r w:rsidR="00604FB7">
        <w:rPr>
          <w:rFonts w:ascii="Times New Roman" w:hAnsi="Times New Roman" w:cs="Times New Roman"/>
          <w:color w:val="1D1D1D"/>
          <w:sz w:val="24"/>
          <w:szCs w:val="24"/>
          <w:shd w:val="clear" w:color="auto" w:fill="FFFFFF"/>
        </w:rPr>
        <w:t>C</w:t>
      </w:r>
      <w:r w:rsidRPr="00AD3EA0">
        <w:rPr>
          <w:rFonts w:ascii="Times New Roman" w:hAnsi="Times New Roman" w:cs="Times New Roman"/>
          <w:color w:val="1D1D1D"/>
          <w:sz w:val="24"/>
          <w:szCs w:val="24"/>
          <w:shd w:val="clear" w:color="auto" w:fill="FFFFFF"/>
        </w:rPr>
        <w:t>ollecting and recording information on individual’s absence as a result of lateness or sickness allows the organization to take further interventions to monitor individual performance, defining specific problem areas as well as launching the basis for designing the necessa</w:t>
      </w:r>
      <w:r w:rsidR="0096232B">
        <w:rPr>
          <w:rFonts w:ascii="Times New Roman" w:hAnsi="Times New Roman" w:cs="Times New Roman"/>
          <w:color w:val="1D1D1D"/>
          <w:sz w:val="24"/>
          <w:szCs w:val="24"/>
          <w:shd w:val="clear" w:color="auto" w:fill="FFFFFF"/>
        </w:rPr>
        <w:t>ry action to address the matter.</w:t>
      </w:r>
    </w:p>
    <w:p w:rsidR="0096232B" w:rsidRDefault="0096232B" w:rsidP="007615A5">
      <w:pPr>
        <w:spacing w:line="480" w:lineRule="auto"/>
        <w:ind w:firstLine="720"/>
        <w:rPr>
          <w:rFonts w:ascii="Times New Roman" w:hAnsi="Times New Roman" w:cs="Times New Roman"/>
          <w:color w:val="1D1D1D"/>
          <w:sz w:val="24"/>
          <w:szCs w:val="24"/>
          <w:shd w:val="clear" w:color="auto" w:fill="FFFFFF"/>
        </w:rPr>
      </w:pPr>
      <w:r w:rsidRPr="0096232B">
        <w:rPr>
          <w:rFonts w:ascii="Times New Roman" w:hAnsi="Times New Roman" w:cs="Times New Roman"/>
          <w:color w:val="1D1D1D"/>
          <w:sz w:val="24"/>
          <w:szCs w:val="24"/>
          <w:shd w:val="clear" w:color="auto" w:fill="FFFFFF"/>
        </w:rPr>
        <w:t>The other reason for collecting HR data is to meet the legal requirement</w:t>
      </w:r>
      <w:r w:rsidR="007615A5">
        <w:rPr>
          <w:rFonts w:ascii="Times New Roman" w:hAnsi="Times New Roman" w:cs="Times New Roman"/>
          <w:color w:val="1D1D1D"/>
          <w:sz w:val="24"/>
          <w:szCs w:val="24"/>
          <w:shd w:val="clear" w:color="auto" w:fill="FFFFFF"/>
        </w:rPr>
        <w:t>s</w:t>
      </w:r>
      <w:r w:rsidRPr="0096232B">
        <w:rPr>
          <w:rFonts w:ascii="Times New Roman" w:hAnsi="Times New Roman" w:cs="Times New Roman"/>
          <w:color w:val="1D1D1D"/>
          <w:sz w:val="24"/>
          <w:szCs w:val="24"/>
          <w:shd w:val="clear" w:color="auto" w:fill="FFFFFF"/>
        </w:rPr>
        <w:t>.  Through law, all organizations whether large or small must preserve recor</w:t>
      </w:r>
      <w:r w:rsidR="007615A5">
        <w:rPr>
          <w:rFonts w:ascii="Times New Roman" w:hAnsi="Times New Roman" w:cs="Times New Roman"/>
          <w:color w:val="1D1D1D"/>
          <w:sz w:val="24"/>
          <w:szCs w:val="24"/>
          <w:shd w:val="clear" w:color="auto" w:fill="FFFFFF"/>
        </w:rPr>
        <w:t xml:space="preserve">ds of some specific data for example; </w:t>
      </w:r>
      <w:r w:rsidRPr="0096232B">
        <w:rPr>
          <w:rFonts w:ascii="Times New Roman" w:hAnsi="Times New Roman" w:cs="Times New Roman"/>
          <w:color w:val="1D1D1D"/>
          <w:sz w:val="24"/>
          <w:szCs w:val="24"/>
          <w:shd w:val="clear" w:color="auto" w:fill="FFFFFF"/>
        </w:rPr>
        <w:t xml:space="preserve">recording additional hours worked by an employee to </w:t>
      </w:r>
      <w:r w:rsidR="0033501C">
        <w:rPr>
          <w:rFonts w:ascii="Times New Roman" w:hAnsi="Times New Roman" w:cs="Times New Roman"/>
          <w:color w:val="1D1D1D"/>
          <w:sz w:val="24"/>
          <w:szCs w:val="24"/>
          <w:shd w:val="clear" w:color="auto" w:fill="FFFFFF"/>
        </w:rPr>
        <w:t>accomplish the provision of the Minimum W</w:t>
      </w:r>
      <w:r w:rsidRPr="0033501C">
        <w:rPr>
          <w:rFonts w:ascii="Times New Roman" w:hAnsi="Times New Roman" w:cs="Times New Roman"/>
          <w:color w:val="1D1D1D"/>
          <w:sz w:val="24"/>
          <w:szCs w:val="24"/>
          <w:shd w:val="clear" w:color="auto" w:fill="FFFFFF"/>
        </w:rPr>
        <w:t xml:space="preserve">age </w:t>
      </w:r>
      <w:r w:rsidR="0033501C">
        <w:rPr>
          <w:rFonts w:ascii="Times New Roman" w:hAnsi="Times New Roman" w:cs="Times New Roman"/>
          <w:color w:val="1D1D1D"/>
          <w:sz w:val="24"/>
          <w:szCs w:val="24"/>
          <w:shd w:val="clear" w:color="auto" w:fill="FFFFFF"/>
        </w:rPr>
        <w:t>A</w:t>
      </w:r>
      <w:r w:rsidRPr="0033501C">
        <w:rPr>
          <w:rFonts w:ascii="Times New Roman" w:hAnsi="Times New Roman" w:cs="Times New Roman"/>
          <w:color w:val="1D1D1D"/>
          <w:sz w:val="24"/>
          <w:szCs w:val="24"/>
          <w:shd w:val="clear" w:color="auto" w:fill="FFFFFF"/>
        </w:rPr>
        <w:t>ct 1998</w:t>
      </w:r>
      <w:r w:rsidRPr="0096232B">
        <w:rPr>
          <w:rFonts w:ascii="Times New Roman" w:hAnsi="Times New Roman" w:cs="Times New Roman"/>
          <w:color w:val="1D1D1D"/>
          <w:sz w:val="24"/>
          <w:szCs w:val="24"/>
          <w:shd w:val="clear" w:color="auto" w:fill="FFFFFF"/>
        </w:rPr>
        <w:t xml:space="preserve">. </w:t>
      </w:r>
    </w:p>
    <w:p w:rsidR="004E52F3" w:rsidRPr="00AD3EA0" w:rsidRDefault="00604FB7" w:rsidP="0096232B">
      <w:pPr>
        <w:spacing w:line="480" w:lineRule="auto"/>
        <w:jc w:val="center"/>
        <w:rPr>
          <w:rFonts w:ascii="Times New Roman" w:hAnsi="Times New Roman" w:cs="Times New Roman"/>
          <w:i/>
          <w:color w:val="1D1D1D"/>
          <w:sz w:val="24"/>
          <w:szCs w:val="24"/>
          <w:shd w:val="clear" w:color="auto" w:fill="FFFFFF"/>
        </w:rPr>
      </w:pPr>
      <w:r>
        <w:rPr>
          <w:rFonts w:ascii="Times New Roman" w:hAnsi="Times New Roman" w:cs="Times New Roman"/>
          <w:i/>
          <w:color w:val="1D1D1D"/>
          <w:sz w:val="24"/>
          <w:szCs w:val="24"/>
          <w:shd w:val="clear" w:color="auto" w:fill="FFFFFF"/>
        </w:rPr>
        <w:t xml:space="preserve">Types of data </w:t>
      </w:r>
      <w:r w:rsidR="004E52F3" w:rsidRPr="00AD3EA0">
        <w:rPr>
          <w:rFonts w:ascii="Times New Roman" w:hAnsi="Times New Roman" w:cs="Times New Roman"/>
          <w:i/>
          <w:color w:val="1D1D1D"/>
          <w:sz w:val="24"/>
          <w:szCs w:val="24"/>
          <w:shd w:val="clear" w:color="auto" w:fill="FFFFFF"/>
        </w:rPr>
        <w:t>collected within the organization.</w:t>
      </w:r>
    </w:p>
    <w:p w:rsidR="004E52F3" w:rsidRPr="00AD3EA0" w:rsidRDefault="0064768D" w:rsidP="00AD3EA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first type is O</w:t>
      </w:r>
      <w:r w:rsidR="004E52F3" w:rsidRPr="00AD3EA0">
        <w:rPr>
          <w:rFonts w:ascii="Times New Roman" w:hAnsi="Times New Roman" w:cs="Times New Roman"/>
          <w:color w:val="1D1D1D"/>
          <w:sz w:val="24"/>
          <w:szCs w:val="24"/>
          <w:shd w:val="clear" w:color="auto" w:fill="FFFFFF"/>
        </w:rPr>
        <w:t xml:space="preserve">rganizational Records </w:t>
      </w:r>
      <w:r>
        <w:rPr>
          <w:rFonts w:ascii="Times New Roman" w:hAnsi="Times New Roman" w:cs="Times New Roman"/>
          <w:color w:val="1D1D1D"/>
          <w:sz w:val="24"/>
          <w:szCs w:val="24"/>
          <w:shd w:val="clear" w:color="auto" w:fill="FFFFFF"/>
        </w:rPr>
        <w:t xml:space="preserve">that </w:t>
      </w:r>
      <w:r w:rsidR="004E52F3" w:rsidRPr="00AD3EA0">
        <w:rPr>
          <w:rFonts w:ascii="Times New Roman" w:hAnsi="Times New Roman" w:cs="Times New Roman"/>
          <w:color w:val="1D1D1D"/>
          <w:sz w:val="24"/>
          <w:szCs w:val="24"/>
          <w:shd w:val="clear" w:color="auto" w:fill="FFFFFF"/>
        </w:rPr>
        <w:t>encompasses all the necessary recruitment documentation, staff turnover data, lateness and absenteeism records as well as learning and devel</w:t>
      </w:r>
      <w:r w:rsidR="007615A5">
        <w:rPr>
          <w:rFonts w:ascii="Times New Roman" w:hAnsi="Times New Roman" w:cs="Times New Roman"/>
          <w:color w:val="1D1D1D"/>
          <w:sz w:val="24"/>
          <w:szCs w:val="24"/>
          <w:shd w:val="clear" w:color="auto" w:fill="FFFFFF"/>
        </w:rPr>
        <w:t>opment records. Organizational records support</w:t>
      </w:r>
      <w:r w:rsidR="004E52F3" w:rsidRPr="00AD3EA0">
        <w:rPr>
          <w:rFonts w:ascii="Times New Roman" w:hAnsi="Times New Roman" w:cs="Times New Roman"/>
          <w:color w:val="1D1D1D"/>
          <w:sz w:val="24"/>
          <w:szCs w:val="24"/>
          <w:shd w:val="clear" w:color="auto" w:fill="FFFFFF"/>
        </w:rPr>
        <w:t xml:space="preserve"> human resources practice in that they allow the HR managers to track as well as monitor recruitment and staffing levels if need be (Kinman </w:t>
      </w:r>
      <w:r w:rsidR="004E52F3" w:rsidRPr="00AD3EA0">
        <w:rPr>
          <w:rFonts w:ascii="Times New Roman" w:hAnsi="Times New Roman" w:cs="Times New Roman"/>
          <w:color w:val="1D1D1D"/>
          <w:sz w:val="24"/>
          <w:szCs w:val="24"/>
          <w:shd w:val="clear" w:color="auto" w:fill="FFFFFF"/>
        </w:rPr>
        <w:lastRenderedPageBreak/>
        <w:t>&amp; Wray, 2018).</w:t>
      </w:r>
      <w:r>
        <w:rPr>
          <w:rFonts w:ascii="Times New Roman" w:hAnsi="Times New Roman" w:cs="Times New Roman"/>
          <w:color w:val="1D1D1D"/>
          <w:sz w:val="24"/>
          <w:szCs w:val="24"/>
          <w:shd w:val="clear" w:color="auto" w:fill="FFFFFF"/>
        </w:rPr>
        <w:t xml:space="preserve">The other is </w:t>
      </w:r>
      <w:r w:rsidR="004E52F3" w:rsidRPr="00AD3EA0">
        <w:rPr>
          <w:rFonts w:ascii="Times New Roman" w:hAnsi="Times New Roman" w:cs="Times New Roman"/>
          <w:color w:val="1D1D1D"/>
          <w:sz w:val="24"/>
          <w:szCs w:val="24"/>
          <w:shd w:val="clear" w:color="auto" w:fill="FFFFFF"/>
        </w:rPr>
        <w:t>Statutory Records stores data on national insurance contributions, tax, employee’s sickness and lateness, and the number of hours worked. These types of records impact to the HR practices by allowing the department to act per regulatory requirements.</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Methods of storing records and the benefits of each.</w:t>
      </w:r>
    </w:p>
    <w:p w:rsidR="00723A78"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Storing records electronically is one of the best approaches. Its benefits includ</w:t>
      </w:r>
      <w:r w:rsidR="00C900DA">
        <w:rPr>
          <w:rFonts w:ascii="Times New Roman" w:hAnsi="Times New Roman" w:cs="Times New Roman"/>
          <w:color w:val="1D1D1D"/>
          <w:sz w:val="24"/>
          <w:szCs w:val="24"/>
          <w:shd w:val="clear" w:color="auto" w:fill="FFFFFF"/>
        </w:rPr>
        <w:t>e;</w:t>
      </w:r>
      <w:r w:rsidRPr="00AD3EA0">
        <w:rPr>
          <w:rFonts w:ascii="Times New Roman" w:hAnsi="Times New Roman" w:cs="Times New Roman"/>
          <w:color w:val="1D1D1D"/>
          <w:sz w:val="24"/>
          <w:szCs w:val="24"/>
          <w:shd w:val="clear" w:color="auto" w:fill="FFFFFF"/>
        </w:rPr>
        <w:t xml:space="preserve"> the fact that it can store enormous amounts of data using</w:t>
      </w:r>
      <w:r w:rsidR="00723A78">
        <w:rPr>
          <w:rFonts w:ascii="Times New Roman" w:hAnsi="Times New Roman" w:cs="Times New Roman"/>
          <w:color w:val="1D1D1D"/>
          <w:sz w:val="24"/>
          <w:szCs w:val="24"/>
          <w:shd w:val="clear" w:color="auto" w:fill="FFFFFF"/>
        </w:rPr>
        <w:t xml:space="preserve"> a significantly reduced space. </w:t>
      </w:r>
      <w:r w:rsidRPr="00AD3EA0">
        <w:rPr>
          <w:rFonts w:ascii="Times New Roman" w:hAnsi="Times New Roman" w:cs="Times New Roman"/>
          <w:color w:val="1D1D1D"/>
          <w:sz w:val="24"/>
          <w:szCs w:val="24"/>
          <w:shd w:val="clear" w:color="auto" w:fill="FFFFFF"/>
        </w:rPr>
        <w:t xml:space="preserve">The other method is the hard copy format. It is beneficial in that one can easily access amendments as they are in the master document (Ellinger &amp; Hamlin, 2016). </w:t>
      </w:r>
    </w:p>
    <w:p w:rsidR="004E52F3" w:rsidRPr="00C900DA" w:rsidRDefault="004E52F3" w:rsidP="00723A78">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i/>
          <w:color w:val="1D1D1D"/>
          <w:sz w:val="24"/>
          <w:szCs w:val="24"/>
          <w:shd w:val="clear" w:color="auto" w:fill="FFFFFF"/>
        </w:rPr>
        <w:t>Essential items of UK legislation.</w:t>
      </w:r>
    </w:p>
    <w:p w:rsidR="0059279A" w:rsidRDefault="0059279A" w:rsidP="0059279A">
      <w:pPr>
        <w:spacing w:line="480" w:lineRule="auto"/>
        <w:ind w:firstLine="720"/>
        <w:rPr>
          <w:rFonts w:ascii="Times New Roman" w:hAnsi="Times New Roman" w:cs="Times New Roman"/>
          <w:color w:val="1D1D1D"/>
          <w:sz w:val="24"/>
          <w:szCs w:val="24"/>
          <w:shd w:val="clear" w:color="auto" w:fill="FFFFFF"/>
        </w:rPr>
      </w:pPr>
      <w:r w:rsidRPr="002D4F75">
        <w:rPr>
          <w:rFonts w:ascii="Times New Roman" w:hAnsi="Times New Roman" w:cs="Times New Roman"/>
          <w:color w:val="1D1D1D"/>
          <w:sz w:val="24"/>
          <w:szCs w:val="24"/>
          <w:shd w:val="clear" w:color="auto" w:fill="FFFFFF"/>
        </w:rPr>
        <w:t>The General Data Protection Regulation 2018</w:t>
      </w:r>
      <w:bookmarkStart w:id="0" w:name="_GoBack"/>
      <w:bookmarkEnd w:id="0"/>
      <w:r w:rsidR="002D4F75" w:rsidRPr="002D4F75">
        <w:rPr>
          <w:rFonts w:ascii="Times New Roman" w:hAnsi="Times New Roman" w:cs="Times New Roman"/>
          <w:color w:val="1D1D1D"/>
          <w:sz w:val="24"/>
          <w:szCs w:val="24"/>
          <w:shd w:val="clear" w:color="auto" w:fill="FFFFFF"/>
        </w:rPr>
        <w:t xml:space="preserve"> was</w:t>
      </w:r>
      <w:r w:rsidRPr="002D4F75">
        <w:rPr>
          <w:rFonts w:ascii="Times New Roman" w:hAnsi="Times New Roman" w:cs="Times New Roman"/>
          <w:color w:val="1D1D1D"/>
          <w:sz w:val="24"/>
          <w:szCs w:val="24"/>
          <w:shd w:val="clear" w:color="auto" w:fill="FFFFFF"/>
        </w:rPr>
        <w:t xml:space="preserve"> recently designed to strengthen the Data Protection Act of 1998. It aims at the protection of natural persons concerning the processing of personal data and on the free movement of such data (Bennett, 2018). It</w:t>
      </w:r>
      <w:r w:rsidR="002D4F75" w:rsidRPr="002D4F75">
        <w:rPr>
          <w:rFonts w:ascii="Times New Roman" w:hAnsi="Times New Roman" w:cs="Times New Roman"/>
          <w:color w:val="1D1D1D"/>
          <w:sz w:val="24"/>
          <w:szCs w:val="24"/>
          <w:shd w:val="clear" w:color="auto" w:fill="FFFFFF"/>
        </w:rPr>
        <w:t xml:space="preserve"> also aims at </w:t>
      </w:r>
      <w:r w:rsidRPr="002D4F75">
        <w:rPr>
          <w:rFonts w:ascii="Times New Roman" w:hAnsi="Times New Roman" w:cs="Times New Roman"/>
          <w:color w:val="1D1D1D"/>
          <w:sz w:val="24"/>
          <w:szCs w:val="24"/>
          <w:shd w:val="clear" w:color="auto" w:fill="FFFFFF"/>
        </w:rPr>
        <w:t>establish</w:t>
      </w:r>
      <w:r w:rsidR="002D4F75" w:rsidRPr="002D4F75">
        <w:rPr>
          <w:rFonts w:ascii="Times New Roman" w:hAnsi="Times New Roman" w:cs="Times New Roman"/>
          <w:color w:val="1D1D1D"/>
          <w:sz w:val="24"/>
          <w:szCs w:val="24"/>
          <w:shd w:val="clear" w:color="auto" w:fill="FFFFFF"/>
        </w:rPr>
        <w:t>ing</w:t>
      </w:r>
      <w:r w:rsidRPr="002D4F75">
        <w:rPr>
          <w:rFonts w:ascii="Times New Roman" w:hAnsi="Times New Roman" w:cs="Times New Roman"/>
          <w:color w:val="1D1D1D"/>
          <w:sz w:val="24"/>
          <w:szCs w:val="24"/>
          <w:shd w:val="clear" w:color="auto" w:fill="FFFFFF"/>
        </w:rPr>
        <w:t xml:space="preserve"> consistent protection of consumer and personal data conclusively. GDPR key requirements include: consent of subject data, anonymizing collected data to protect privacy, data breach notifications and safe handling of data across borders.</w:t>
      </w:r>
    </w:p>
    <w:p w:rsidR="004E52F3" w:rsidRPr="00AD3EA0" w:rsidRDefault="004E52F3" w:rsidP="0059279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F</w:t>
      </w:r>
      <w:r w:rsidR="00C900DA">
        <w:rPr>
          <w:rFonts w:ascii="Times New Roman" w:hAnsi="Times New Roman" w:cs="Times New Roman"/>
          <w:color w:val="1D1D1D"/>
          <w:sz w:val="24"/>
          <w:szCs w:val="24"/>
          <w:shd w:val="clear" w:color="auto" w:fill="FFFFFF"/>
        </w:rPr>
        <w:t xml:space="preserve">reedom of Information Act 2000; </w:t>
      </w:r>
      <w:r w:rsidR="00C900DA" w:rsidRPr="00AD3EA0">
        <w:rPr>
          <w:rFonts w:ascii="Times New Roman" w:hAnsi="Times New Roman" w:cs="Times New Roman"/>
          <w:color w:val="1D1D1D"/>
          <w:sz w:val="24"/>
          <w:szCs w:val="24"/>
          <w:shd w:val="clear" w:color="auto" w:fill="FFFFFF"/>
        </w:rPr>
        <w:t>the</w:t>
      </w:r>
      <w:r w:rsidRPr="00AD3EA0">
        <w:rPr>
          <w:rFonts w:ascii="Times New Roman" w:hAnsi="Times New Roman" w:cs="Times New Roman"/>
          <w:color w:val="1D1D1D"/>
          <w:sz w:val="24"/>
          <w:szCs w:val="24"/>
          <w:shd w:val="clear" w:color="auto" w:fill="FFFFFF"/>
        </w:rPr>
        <w:t xml:space="preserve"> act offers public access to data held by the public authorities in two ways. First, the public authorities are obliged to publish certain data concerning their organizational activities (Bennett, 2018). Second, the members of the general public are permitted to demand data from public authorities. </w:t>
      </w:r>
    </w:p>
    <w:p w:rsidR="004E52F3" w:rsidRPr="00C900DA"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C900DA">
        <w:rPr>
          <w:rFonts w:ascii="Times New Roman" w:hAnsi="Times New Roman" w:cs="Times New Roman"/>
          <w:b/>
          <w:color w:val="1D1D1D"/>
          <w:sz w:val="24"/>
          <w:szCs w:val="24"/>
          <w:shd w:val="clear" w:color="auto" w:fill="FFFFFF"/>
        </w:rPr>
        <w:t>Activity 2.</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This section provides a critical analysis of CIPD data regarding the Absence Management in the private sector as observed in the survey report for 2018. The data used in this section is founded on the CIPD report survey published in May 2018.</w:t>
      </w:r>
    </w:p>
    <w:p w:rsidR="00524C7B" w:rsidRPr="000B4A70" w:rsidRDefault="00524C7B" w:rsidP="000B4A70">
      <w:pPr>
        <w:spacing w:line="480" w:lineRule="auto"/>
        <w:ind w:firstLine="720"/>
        <w:jc w:val="center"/>
        <w:rPr>
          <w:rFonts w:ascii="Times New Roman" w:hAnsi="Times New Roman" w:cs="Times New Roman"/>
          <w:b/>
          <w:color w:val="1D1D1D"/>
          <w:sz w:val="24"/>
          <w:szCs w:val="24"/>
          <w:shd w:val="clear" w:color="auto" w:fill="FFFFFF"/>
        </w:rPr>
      </w:pPr>
      <w:r w:rsidRPr="000B4A70">
        <w:rPr>
          <w:rFonts w:ascii="Times New Roman" w:hAnsi="Times New Roman" w:cs="Times New Roman"/>
          <w:b/>
          <w:color w:val="1D1D1D"/>
          <w:sz w:val="24"/>
          <w:szCs w:val="24"/>
          <w:shd w:val="clear" w:color="auto" w:fill="FFFFFF"/>
        </w:rPr>
        <w:t xml:space="preserve">Health and Well-being at Work Survey </w:t>
      </w:r>
      <w:r w:rsidR="000B4A70">
        <w:rPr>
          <w:rFonts w:ascii="Times New Roman" w:hAnsi="Times New Roman" w:cs="Times New Roman"/>
          <w:b/>
          <w:color w:val="1D1D1D"/>
          <w:sz w:val="24"/>
          <w:szCs w:val="24"/>
          <w:shd w:val="clear" w:color="auto" w:fill="FFFFFF"/>
        </w:rPr>
        <w:t xml:space="preserve">for </w:t>
      </w:r>
      <w:r w:rsidRPr="000B4A70">
        <w:rPr>
          <w:rFonts w:ascii="Times New Roman" w:hAnsi="Times New Roman" w:cs="Times New Roman"/>
          <w:b/>
          <w:color w:val="1D1D1D"/>
          <w:sz w:val="24"/>
          <w:szCs w:val="24"/>
          <w:shd w:val="clear" w:color="auto" w:fill="FFFFFF"/>
        </w:rPr>
        <w:t>May 2018.</w:t>
      </w:r>
    </w:p>
    <w:tbl>
      <w:tblPr>
        <w:tblStyle w:val="TableGrid"/>
        <w:tblW w:w="0" w:type="auto"/>
        <w:tblLook w:val="04A0"/>
      </w:tblPr>
      <w:tblGrid>
        <w:gridCol w:w="4786"/>
        <w:gridCol w:w="4790"/>
      </w:tblGrid>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Health and Well-being</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Level of well being</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Working when unwell</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w:t>
            </w:r>
            <w:r w:rsidR="002A0736">
              <w:rPr>
                <w:rFonts w:ascii="Times New Roman" w:hAnsi="Times New Roman" w:cs="Times New Roman"/>
                <w:color w:val="1D1D1D"/>
                <w:sz w:val="24"/>
                <w:szCs w:val="24"/>
                <w:shd w:val="clear" w:color="auto" w:fill="FFFFFF"/>
              </w:rPr>
              <w:t>4</w:t>
            </w:r>
            <w:r>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Organizational</w:t>
            </w:r>
            <w:r w:rsidR="00524C7B">
              <w:rPr>
                <w:rFonts w:ascii="Times New Roman" w:hAnsi="Times New Roman" w:cs="Times New Roman"/>
                <w:color w:val="1D1D1D"/>
                <w:sz w:val="24"/>
                <w:szCs w:val="24"/>
                <w:shd w:val="clear" w:color="auto" w:fill="FFFFFF"/>
              </w:rPr>
              <w:t xml:space="preserve"> taking steps to discourage absenteeism</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63</w:t>
            </w:r>
            <w:r w:rsidR="00524C7B">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Reported common mental health over last 12 months</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55%</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Stress related absenteeism </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51</w:t>
            </w:r>
            <w:r w:rsidR="000D70D5">
              <w:rPr>
                <w:rFonts w:ascii="Times New Roman" w:hAnsi="Times New Roman" w:cs="Times New Roman"/>
                <w:color w:val="1D1D1D"/>
                <w:sz w:val="24"/>
                <w:szCs w:val="24"/>
                <w:shd w:val="clear" w:color="auto" w:fill="FFFFFF"/>
              </w:rPr>
              <w:t>%</w:t>
            </w:r>
          </w:p>
        </w:tc>
      </w:tr>
      <w:tr w:rsidR="000D70D5" w:rsidTr="00BB12A6">
        <w:tblPrEx>
          <w:tblLook w:val="0000"/>
        </w:tblPrEx>
        <w:trPr>
          <w:trHeight w:val="480"/>
        </w:trPr>
        <w:tc>
          <w:tcPr>
            <w:tcW w:w="4786" w:type="dxa"/>
          </w:tcPr>
          <w:p w:rsidR="000D70D5"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Benefits of investing in health and well-being </w:t>
            </w:r>
          </w:p>
        </w:tc>
        <w:tc>
          <w:tcPr>
            <w:tcW w:w="4790" w:type="dxa"/>
          </w:tcPr>
          <w:p w:rsidR="000D70D5"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75</w:t>
            </w:r>
            <w:r w:rsidR="000D70D5">
              <w:rPr>
                <w:rFonts w:ascii="Times New Roman" w:hAnsi="Times New Roman" w:cs="Times New Roman"/>
                <w:color w:val="1D1D1D"/>
                <w:sz w:val="24"/>
                <w:szCs w:val="24"/>
                <w:shd w:val="clear" w:color="auto" w:fill="FFFFFF"/>
              </w:rPr>
              <w:t>%</w:t>
            </w:r>
          </w:p>
        </w:tc>
      </w:tr>
      <w:tr w:rsidR="002A0736" w:rsidTr="00BB12A6">
        <w:tc>
          <w:tcPr>
            <w:tcW w:w="4786"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Average level of absence</w:t>
            </w:r>
          </w:p>
        </w:tc>
        <w:tc>
          <w:tcPr>
            <w:tcW w:w="4790"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6.2 days per year</w:t>
            </w:r>
          </w:p>
        </w:tc>
      </w:tr>
    </w:tbl>
    <w:p w:rsidR="00BB12A6" w:rsidRP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 1.1</w:t>
      </w:r>
    </w:p>
    <w:p w:rsid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Figure 1.1 above presents a private sector data on health and well-being survey report released in May 2018. The level of well-being was found to be featured by a variety of factors. About 64% of laborers were found to execute jobs while feeling unwell, 63% of the total organizations were found to take initiatives for alleviating absenteeism, and stress-related issues facilitated about 51% of sickness. Also, 75% of the organizations reported that they had benefited from investing in health and wellbeing over the last 12 months. The average rate of absenteeism had increased to 6.2 days per employee per years.</w:t>
      </w:r>
    </w:p>
    <w:p w:rsidR="004E52F3" w:rsidRPr="00AD3EA0" w:rsidRDefault="004E52F3" w:rsidP="00BB12A6">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I applied secondary research design to allow for wider access to material data</w:t>
      </w:r>
      <w:r w:rsidR="00723A78">
        <w:rPr>
          <w:rFonts w:ascii="Times New Roman" w:hAnsi="Times New Roman" w:cs="Times New Roman"/>
          <w:color w:val="1D1D1D"/>
          <w:sz w:val="24"/>
          <w:szCs w:val="24"/>
          <w:shd w:val="clear" w:color="auto" w:fill="FFFFFF"/>
        </w:rPr>
        <w:t xml:space="preserve"> and </w:t>
      </w:r>
      <w:r w:rsidRPr="00AD3EA0">
        <w:rPr>
          <w:rFonts w:ascii="Times New Roman" w:hAnsi="Times New Roman" w:cs="Times New Roman"/>
          <w:color w:val="1D1D1D"/>
          <w:sz w:val="24"/>
          <w:szCs w:val="24"/>
          <w:shd w:val="clear" w:color="auto" w:fill="FFFFFF"/>
        </w:rPr>
        <w:t xml:space="preserve">the internet to evaluate information on the CIPD websites in conjunction with other HR publications to gain industry standpoint regarding absence management. The data was interpreted by comparing and contrasting findings to acquire my internal information. </w:t>
      </w:r>
    </w:p>
    <w:p w:rsidR="004E52F3" w:rsidRPr="00AD3EA0" w:rsidRDefault="004E52F3" w:rsidP="0064768D">
      <w:p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CIPD survey reports the following:</w:t>
      </w:r>
    </w:p>
    <w:p w:rsidR="00723A78" w:rsidRPr="00723A78" w:rsidRDefault="004E52F3" w:rsidP="00723A78">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Private organizations adore more reactive than proactive </w:t>
      </w:r>
      <w:r w:rsidR="002A0736">
        <w:rPr>
          <w:rFonts w:ascii="Times New Roman" w:hAnsi="Times New Roman" w:cs="Times New Roman"/>
          <w:color w:val="1D1D1D"/>
          <w:sz w:val="24"/>
          <w:szCs w:val="24"/>
          <w:shd w:val="clear" w:color="auto" w:fill="FFFFFF"/>
        </w:rPr>
        <w:t>approach to well-being. About 63</w:t>
      </w:r>
      <w:r w:rsidRPr="00AD3EA0">
        <w:rPr>
          <w:rFonts w:ascii="Times New Roman" w:hAnsi="Times New Roman" w:cs="Times New Roman"/>
          <w:color w:val="1D1D1D"/>
          <w:sz w:val="24"/>
          <w:szCs w:val="24"/>
          <w:shd w:val="clear" w:color="auto" w:fill="FFFFFF"/>
        </w:rPr>
        <w:t>% of the private organizations report that they act flexibly following the individual needs than the case with the</w:t>
      </w:r>
      <w:r w:rsidR="00604FB7">
        <w:rPr>
          <w:rFonts w:ascii="Times New Roman" w:hAnsi="Times New Roman" w:cs="Times New Roman"/>
          <w:color w:val="1D1D1D"/>
          <w:sz w:val="24"/>
          <w:szCs w:val="24"/>
          <w:shd w:val="clear" w:color="auto" w:fill="FFFFFF"/>
        </w:rPr>
        <w:t xml:space="preserve"> standalone well-being strategy. </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Organizations with a reliable well-being focus are found to take a fairly holistic approach (Whysall et al., 2018). About 3/5 of the private sector’s organizations argue that their health and well-being activity is designed to enhance good work.</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 quarter of private organizations record no achievements from their health and well-being activity.  About 25% of the private institutions report that they have had no benefits amounting to their health as well as well-being project over the last 12 months.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Absence level. The absence level in the private sector has increased significantly compared to the 2016 survey report (Johnson et al., 2018). The average level has increased by 0.8 days to 6.2 days in a year from 5.4 days in a year per employee in 2016.</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Solutions.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With an effective understanding of the ideal causes of absence, many private sector organizations have growing attention to mental health issues. They have been encouraging </w:t>
      </w:r>
      <w:r w:rsidRPr="00AD3EA0">
        <w:rPr>
          <w:rFonts w:ascii="Times New Roman" w:hAnsi="Times New Roman" w:cs="Times New Roman"/>
          <w:color w:val="1D1D1D"/>
          <w:sz w:val="24"/>
          <w:szCs w:val="24"/>
          <w:shd w:val="clear" w:color="auto" w:fill="FFFFFF"/>
        </w:rPr>
        <w:lastRenderedPageBreak/>
        <w:t>openness about mental health for providing effective support to people with mental illness.</w:t>
      </w:r>
      <w:r w:rsidR="0064768D">
        <w:rPr>
          <w:rFonts w:ascii="Times New Roman" w:hAnsi="Times New Roman" w:cs="Times New Roman"/>
          <w:color w:val="1D1D1D"/>
          <w:sz w:val="24"/>
          <w:szCs w:val="24"/>
          <w:shd w:val="clear" w:color="auto" w:fill="FFFFFF"/>
        </w:rPr>
        <w:t xml:space="preserve"> M</w:t>
      </w:r>
      <w:r w:rsidRPr="00AD3EA0">
        <w:rPr>
          <w:rFonts w:ascii="Times New Roman" w:hAnsi="Times New Roman" w:cs="Times New Roman"/>
          <w:color w:val="1D1D1D"/>
          <w:sz w:val="24"/>
          <w:szCs w:val="24"/>
          <w:shd w:val="clear" w:color="auto" w:fill="FFFFFF"/>
        </w:rPr>
        <w:t>any organizations providing line managers with tailored support to enable them to cope with the dynamic nature of health and well-being amid the staff. This is by training them to support those with mental ill health, disability, and other long-term health conditions.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My analysis also identified some core challenges for HR going forward. These included</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understanding the underlying patterns of absence as well as attendance to manage sickness absence. Private organizations are challenged in tailoring policies as well as descriptions of organizational and </w:t>
      </w:r>
      <w:r w:rsidR="0064768D" w:rsidRPr="00AD3EA0">
        <w:rPr>
          <w:rFonts w:ascii="Times New Roman" w:hAnsi="Times New Roman" w:cs="Times New Roman"/>
          <w:color w:val="1D1D1D"/>
          <w:sz w:val="24"/>
          <w:szCs w:val="24"/>
          <w:shd w:val="clear" w:color="auto" w:fill="FFFFFF"/>
        </w:rPr>
        <w:t>employee</w:t>
      </w:r>
      <w:r w:rsidR="0064768D">
        <w:rPr>
          <w:rFonts w:ascii="Times New Roman" w:hAnsi="Times New Roman" w:cs="Times New Roman"/>
          <w:color w:val="1D1D1D"/>
          <w:sz w:val="24"/>
          <w:szCs w:val="24"/>
          <w:shd w:val="clear" w:color="auto" w:fill="FFFFFF"/>
        </w:rPr>
        <w:t>s’</w:t>
      </w:r>
      <w:r w:rsidR="0064768D" w:rsidRPr="00AD3EA0">
        <w:rPr>
          <w:rFonts w:ascii="Times New Roman" w:hAnsi="Times New Roman" w:cs="Times New Roman"/>
          <w:color w:val="1D1D1D"/>
          <w:sz w:val="24"/>
          <w:szCs w:val="24"/>
          <w:shd w:val="clear" w:color="auto" w:fill="FFFFFF"/>
        </w:rPr>
        <w:t xml:space="preserve"> needs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a factor which is s</w:t>
      </w:r>
      <w:r w:rsidR="0064768D">
        <w:rPr>
          <w:rFonts w:ascii="Times New Roman" w:hAnsi="Times New Roman" w:cs="Times New Roman"/>
          <w:color w:val="1D1D1D"/>
          <w:sz w:val="24"/>
          <w:szCs w:val="24"/>
          <w:shd w:val="clear" w:color="auto" w:fill="FFFFFF"/>
        </w:rPr>
        <w:t>ubject to budgetary constraints.</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 summary, the majority of private sector employees have a perception that they can reduce their absence levels. Private organizations must ensure that they share an understanding on the cost of absence and stimulate support to the management for identifying and curbing absence issues. This initiative is essential for developing line managers and enabling them to manage short-term absence.</w:t>
      </w: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AF7B42" w:rsidRDefault="00AF7B42" w:rsidP="001D43C5">
      <w:pPr>
        <w:spacing w:line="480" w:lineRule="auto"/>
        <w:rPr>
          <w:rFonts w:ascii="Times New Roman" w:hAnsi="Times New Roman" w:cs="Times New Roman"/>
          <w:color w:val="1D1D1D"/>
          <w:sz w:val="24"/>
          <w:szCs w:val="24"/>
          <w:shd w:val="clear" w:color="auto" w:fill="FFFFFF"/>
        </w:rPr>
      </w:pPr>
    </w:p>
    <w:p w:rsidR="001661E8" w:rsidRPr="00AD3EA0" w:rsidRDefault="001661E8" w:rsidP="001661E8">
      <w:pPr>
        <w:spacing w:line="480" w:lineRule="auto"/>
        <w:ind w:left="1008" w:hanging="1008"/>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References.</w:t>
      </w:r>
    </w:p>
    <w:p w:rsidR="00AD3EA0" w:rsidRPr="00AD3EA0" w:rsidRDefault="00AD3EA0" w:rsidP="00C900DA">
      <w:pPr>
        <w:spacing w:line="480" w:lineRule="auto"/>
        <w:ind w:left="720" w:hanging="720"/>
        <w:rPr>
          <w:rFonts w:ascii="Times New Roman" w:hAnsi="Times New Roman" w:cs="Times New Roman"/>
          <w:color w:val="1D1D1D"/>
          <w:sz w:val="24"/>
          <w:szCs w:val="24"/>
          <w:shd w:val="clear" w:color="auto" w:fill="FFFFFF"/>
        </w:rPr>
      </w:pPr>
      <w:r w:rsidRPr="00AD3EA0">
        <w:rPr>
          <w:rFonts w:ascii="Times New Roman" w:hAnsi="Times New Roman" w:cs="Times New Roman"/>
          <w:color w:val="222222"/>
          <w:sz w:val="24"/>
          <w:szCs w:val="24"/>
          <w:shd w:val="clear" w:color="auto" w:fill="FFFFFF"/>
        </w:rPr>
        <w:t>Bennett, E. E. (2018). Exploring the Role of Virtual Human Resource Development. </w:t>
      </w:r>
      <w:r w:rsidRPr="00AD3EA0">
        <w:rPr>
          <w:rFonts w:ascii="Times New Roman" w:hAnsi="Times New Roman" w:cs="Times New Roman"/>
          <w:i/>
          <w:iCs/>
          <w:color w:val="222222"/>
          <w:sz w:val="24"/>
          <w:szCs w:val="24"/>
          <w:shd w:val="clear" w:color="auto" w:fill="FFFFFF"/>
        </w:rPr>
        <w:t>The Internet of People, Things and Services: Workplace Transformations</w:t>
      </w:r>
      <w:r w:rsidRPr="00AD3EA0">
        <w:rPr>
          <w:rFonts w:ascii="Times New Roman" w:hAnsi="Times New Roman" w:cs="Times New Roman"/>
          <w:color w:val="222222"/>
          <w:sz w:val="24"/>
          <w:szCs w:val="24"/>
          <w:shd w:val="clear" w:color="auto" w:fill="FFFFFF"/>
        </w:rPr>
        <w:t>.</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Ellinger, A. D., &amp; Hamlin, R. G. (2016). Coaching in the HRD Context. </w:t>
      </w:r>
      <w:r w:rsidRPr="00AD3EA0">
        <w:rPr>
          <w:rFonts w:ascii="Times New Roman" w:hAnsi="Times New Roman" w:cs="Times New Roman"/>
          <w:i/>
          <w:iCs/>
          <w:color w:val="222222"/>
          <w:sz w:val="24"/>
          <w:szCs w:val="24"/>
          <w:shd w:val="clear" w:color="auto" w:fill="FFFFFF"/>
        </w:rPr>
        <w:t>The SAGE Handbook of Coaching</w:t>
      </w:r>
      <w:r w:rsidRPr="00AD3EA0">
        <w:rPr>
          <w:rFonts w:ascii="Times New Roman" w:hAnsi="Times New Roman" w:cs="Times New Roman"/>
          <w:color w:val="222222"/>
          <w:sz w:val="24"/>
          <w:szCs w:val="24"/>
          <w:shd w:val="clear" w:color="auto" w:fill="FFFFFF"/>
        </w:rPr>
        <w:t>, 470.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Johnson, S., Robertson, I., &amp; Cooper, C. L. (2018). For Organizations. In </w:t>
      </w:r>
      <w:r w:rsidRPr="00AD3EA0">
        <w:rPr>
          <w:rFonts w:ascii="Times New Roman" w:hAnsi="Times New Roman" w:cs="Times New Roman"/>
          <w:i/>
          <w:iCs/>
          <w:color w:val="222222"/>
          <w:sz w:val="24"/>
          <w:szCs w:val="24"/>
          <w:shd w:val="clear" w:color="auto" w:fill="FFFFFF"/>
        </w:rPr>
        <w:t>WELL-BEING</w:t>
      </w:r>
      <w:r w:rsidRPr="00AD3EA0">
        <w:rPr>
          <w:rFonts w:ascii="Times New Roman" w:hAnsi="Times New Roman" w:cs="Times New Roman"/>
          <w:color w:val="222222"/>
          <w:sz w:val="24"/>
          <w:szCs w:val="24"/>
          <w:shd w:val="clear" w:color="auto" w:fill="FFFFFF"/>
        </w:rPr>
        <w:t> (pp. 15-29). Palgrave Macmillan, Cham.</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Kinman, G., &amp; Wray, S. (2018). Presenteeism in academic employees—occupational and individual factors. </w:t>
      </w:r>
      <w:r w:rsidRPr="00AD3EA0">
        <w:rPr>
          <w:rFonts w:ascii="Times New Roman" w:hAnsi="Times New Roman" w:cs="Times New Roman"/>
          <w:i/>
          <w:iCs/>
          <w:color w:val="222222"/>
          <w:sz w:val="24"/>
          <w:szCs w:val="24"/>
          <w:shd w:val="clear" w:color="auto" w:fill="FFFFFF"/>
        </w:rPr>
        <w:t>Occupational Medicine</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68</w:t>
      </w:r>
      <w:r w:rsidRPr="00AD3EA0">
        <w:rPr>
          <w:rFonts w:ascii="Times New Roman" w:hAnsi="Times New Roman" w:cs="Times New Roman"/>
          <w:color w:val="222222"/>
          <w:sz w:val="24"/>
          <w:szCs w:val="24"/>
          <w:shd w:val="clear" w:color="auto" w:fill="FFFFFF"/>
        </w:rPr>
        <w:t>(1), 46-50.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Mayo, A. (2016). </w:t>
      </w:r>
      <w:r w:rsidRPr="00AD3EA0">
        <w:rPr>
          <w:rFonts w:ascii="Times New Roman" w:hAnsi="Times New Roman" w:cs="Times New Roman"/>
          <w:i/>
          <w:iCs/>
          <w:color w:val="222222"/>
          <w:sz w:val="24"/>
          <w:szCs w:val="24"/>
          <w:shd w:val="clear" w:color="auto" w:fill="FFFFFF"/>
        </w:rPr>
        <w:t>Human resources or human capital? Managing people as assets</w:t>
      </w:r>
      <w:r w:rsidRPr="00AD3EA0">
        <w:rPr>
          <w:rFonts w:ascii="Times New Roman" w:hAnsi="Times New Roman" w:cs="Times New Roman"/>
          <w:color w:val="222222"/>
          <w:sz w:val="24"/>
          <w:szCs w:val="24"/>
          <w:shd w:val="clear" w:color="auto" w:fill="FFFFFF"/>
        </w:rPr>
        <w:t>. Routledge.</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Whysall, Z., Bowden, J., &amp; Hewitt, M. (2018). Sickness presentism: measurement and management challenges. </w:t>
      </w:r>
      <w:r w:rsidRPr="00AD3EA0">
        <w:rPr>
          <w:rFonts w:ascii="Times New Roman" w:hAnsi="Times New Roman" w:cs="Times New Roman"/>
          <w:i/>
          <w:iCs/>
          <w:color w:val="222222"/>
          <w:sz w:val="24"/>
          <w:szCs w:val="24"/>
          <w:shd w:val="clear" w:color="auto" w:fill="FFFFFF"/>
        </w:rPr>
        <w:t>Ergonomics</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61</w:t>
      </w:r>
      <w:r w:rsidRPr="00AD3EA0">
        <w:rPr>
          <w:rFonts w:ascii="Times New Roman" w:hAnsi="Times New Roman" w:cs="Times New Roman"/>
          <w:color w:val="222222"/>
          <w:sz w:val="24"/>
          <w:szCs w:val="24"/>
          <w:shd w:val="clear" w:color="auto" w:fill="FFFFFF"/>
        </w:rPr>
        <w:t>(3), 341-354.</w:t>
      </w:r>
    </w:p>
    <w:p w:rsidR="008C2307" w:rsidRPr="00AD3EA0" w:rsidRDefault="008C2307" w:rsidP="00AD3EA0">
      <w:pPr>
        <w:spacing w:line="480" w:lineRule="auto"/>
        <w:rPr>
          <w:rFonts w:ascii="Times New Roman" w:hAnsi="Times New Roman" w:cs="Times New Roman"/>
          <w:color w:val="1D1D1D"/>
          <w:sz w:val="24"/>
          <w:szCs w:val="24"/>
          <w:shd w:val="clear" w:color="auto" w:fill="FFFFFF"/>
        </w:rPr>
      </w:pPr>
    </w:p>
    <w:p w:rsidR="0096232B" w:rsidRPr="00AD3EA0" w:rsidRDefault="0096232B">
      <w:pPr>
        <w:spacing w:line="480" w:lineRule="auto"/>
        <w:rPr>
          <w:rFonts w:ascii="Times New Roman" w:hAnsi="Times New Roman" w:cs="Times New Roman"/>
          <w:color w:val="1D1D1D"/>
          <w:sz w:val="24"/>
          <w:szCs w:val="24"/>
          <w:shd w:val="clear" w:color="auto" w:fill="FFFFFF"/>
        </w:rPr>
      </w:pPr>
    </w:p>
    <w:sectPr w:rsidR="0096232B" w:rsidRPr="00AD3EA0" w:rsidSect="004E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8A5" w:rsidRDefault="006538A5" w:rsidP="004E52F3">
      <w:pPr>
        <w:spacing w:after="0" w:line="240" w:lineRule="auto"/>
      </w:pPr>
      <w:r>
        <w:separator/>
      </w:r>
    </w:p>
  </w:endnote>
  <w:endnote w:type="continuationSeparator" w:id="1">
    <w:p w:rsidR="006538A5" w:rsidRDefault="006538A5" w:rsidP="004E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8A5" w:rsidRDefault="006538A5" w:rsidP="004E52F3">
      <w:pPr>
        <w:spacing w:after="0" w:line="240" w:lineRule="auto"/>
      </w:pPr>
      <w:r>
        <w:separator/>
      </w:r>
    </w:p>
  </w:footnote>
  <w:footnote w:type="continuationSeparator" w:id="1">
    <w:p w:rsidR="006538A5" w:rsidRDefault="006538A5" w:rsidP="004E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pPr>
      <w:pStyle w:val="Header"/>
      <w:rPr>
        <w:rFonts w:ascii="Times New Roman" w:hAnsi="Times New Roman" w:cs="Times New Roman"/>
        <w:sz w:val="24"/>
        <w:szCs w:val="24"/>
      </w:rPr>
    </w:pP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88863751"/>
        <w:docPartObj>
          <w:docPartGallery w:val="Page Numbers (Top of Page)"/>
          <w:docPartUnique/>
        </w:docPartObj>
      </w:sdtPr>
      <w:sdtEndPr>
        <w:rPr>
          <w:noProof/>
        </w:rPr>
      </w:sdtEndPr>
      <w:sdtContent>
        <w:r w:rsidR="006543DD"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6543DD" w:rsidRPr="004E52F3">
          <w:rPr>
            <w:rFonts w:ascii="Times New Roman" w:hAnsi="Times New Roman" w:cs="Times New Roman"/>
            <w:sz w:val="24"/>
            <w:szCs w:val="24"/>
          </w:rPr>
          <w:fldChar w:fldCharType="separate"/>
        </w:r>
        <w:r w:rsidR="002D4F75">
          <w:rPr>
            <w:rFonts w:ascii="Times New Roman" w:hAnsi="Times New Roman" w:cs="Times New Roman"/>
            <w:noProof/>
            <w:sz w:val="24"/>
            <w:szCs w:val="24"/>
          </w:rPr>
          <w:t>2</w:t>
        </w:r>
        <w:r w:rsidR="006543DD"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rsidP="004E52F3">
    <w:pPr>
      <w:rPr>
        <w:rFonts w:ascii="Times New Roman" w:hAnsi="Times New Roman" w:cs="Times New Roman"/>
        <w:sz w:val="24"/>
        <w:szCs w:val="24"/>
      </w:rPr>
    </w:pPr>
    <w:r w:rsidRPr="004E52F3">
      <w:rPr>
        <w:rFonts w:ascii="Times New Roman" w:hAnsi="Times New Roman" w:cs="Times New Roman"/>
        <w:sz w:val="24"/>
        <w:szCs w:val="24"/>
      </w:rPr>
      <w:t xml:space="preserve">Running Head: </w:t>
    </w: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44247879"/>
        <w:docPartObj>
          <w:docPartGallery w:val="Page Numbers (Top of Page)"/>
          <w:docPartUnique/>
        </w:docPartObj>
      </w:sdtPr>
      <w:sdtEndPr>
        <w:rPr>
          <w:noProof/>
        </w:rPr>
      </w:sdtEndPr>
      <w:sdtContent>
        <w:r w:rsidR="006543DD"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6543DD" w:rsidRPr="004E52F3">
          <w:rPr>
            <w:rFonts w:ascii="Times New Roman" w:hAnsi="Times New Roman" w:cs="Times New Roman"/>
            <w:sz w:val="24"/>
            <w:szCs w:val="24"/>
          </w:rPr>
          <w:fldChar w:fldCharType="separate"/>
        </w:r>
        <w:r w:rsidR="002D4F75">
          <w:rPr>
            <w:rFonts w:ascii="Times New Roman" w:hAnsi="Times New Roman" w:cs="Times New Roman"/>
            <w:noProof/>
            <w:sz w:val="24"/>
            <w:szCs w:val="24"/>
          </w:rPr>
          <w:t>1</w:t>
        </w:r>
        <w:r w:rsidR="006543DD"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7D40"/>
    <w:multiLevelType w:val="hybridMultilevel"/>
    <w:tmpl w:val="FA3A3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10CF9"/>
    <w:multiLevelType w:val="hybridMultilevel"/>
    <w:tmpl w:val="82DA8A8C"/>
    <w:lvl w:ilvl="0" w:tplc="6A9094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3D746B"/>
    <w:multiLevelType w:val="hybridMultilevel"/>
    <w:tmpl w:val="19D8D6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1F3D7C"/>
    <w:multiLevelType w:val="hybridMultilevel"/>
    <w:tmpl w:val="C5085FD8"/>
    <w:lvl w:ilvl="0" w:tplc="98C679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4DB6"/>
    <w:rsid w:val="00033E80"/>
    <w:rsid w:val="00046F41"/>
    <w:rsid w:val="000B4A70"/>
    <w:rsid w:val="000D70D5"/>
    <w:rsid w:val="000E7D05"/>
    <w:rsid w:val="001008EB"/>
    <w:rsid w:val="00127BBA"/>
    <w:rsid w:val="001460F4"/>
    <w:rsid w:val="00154AFC"/>
    <w:rsid w:val="001661E8"/>
    <w:rsid w:val="001B2E46"/>
    <w:rsid w:val="001C66C8"/>
    <w:rsid w:val="001D43C5"/>
    <w:rsid w:val="002A0736"/>
    <w:rsid w:val="002D4F75"/>
    <w:rsid w:val="002E2F7D"/>
    <w:rsid w:val="0033501C"/>
    <w:rsid w:val="00473225"/>
    <w:rsid w:val="004C2293"/>
    <w:rsid w:val="004E52F3"/>
    <w:rsid w:val="00524C7B"/>
    <w:rsid w:val="005341AA"/>
    <w:rsid w:val="0054422B"/>
    <w:rsid w:val="00560B88"/>
    <w:rsid w:val="0059279A"/>
    <w:rsid w:val="005A0871"/>
    <w:rsid w:val="005A0FDF"/>
    <w:rsid w:val="005D3B03"/>
    <w:rsid w:val="005E5ED9"/>
    <w:rsid w:val="00604FB7"/>
    <w:rsid w:val="0064768D"/>
    <w:rsid w:val="006538A5"/>
    <w:rsid w:val="006543DD"/>
    <w:rsid w:val="0066326A"/>
    <w:rsid w:val="006819C9"/>
    <w:rsid w:val="006E582F"/>
    <w:rsid w:val="00723A78"/>
    <w:rsid w:val="007615A5"/>
    <w:rsid w:val="007E5D65"/>
    <w:rsid w:val="00843D84"/>
    <w:rsid w:val="008C2307"/>
    <w:rsid w:val="0096232B"/>
    <w:rsid w:val="00A10F65"/>
    <w:rsid w:val="00A379A6"/>
    <w:rsid w:val="00A45A02"/>
    <w:rsid w:val="00A61AC7"/>
    <w:rsid w:val="00AD3EA0"/>
    <w:rsid w:val="00AF7B42"/>
    <w:rsid w:val="00BB12A6"/>
    <w:rsid w:val="00BB2C86"/>
    <w:rsid w:val="00C14F1B"/>
    <w:rsid w:val="00C473A9"/>
    <w:rsid w:val="00C87CC1"/>
    <w:rsid w:val="00C900DA"/>
    <w:rsid w:val="00CB4DB6"/>
    <w:rsid w:val="00DB02B6"/>
    <w:rsid w:val="00DB17A9"/>
    <w:rsid w:val="00DF54D2"/>
    <w:rsid w:val="00E62B4F"/>
    <w:rsid w:val="00EB172B"/>
    <w:rsid w:val="00EC0CDE"/>
    <w:rsid w:val="00F548EA"/>
    <w:rsid w:val="00F558E0"/>
    <w:rsid w:val="00FF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F1B"/>
    <w:pPr>
      <w:ind w:left="720"/>
      <w:contextualSpacing/>
    </w:pPr>
  </w:style>
  <w:style w:type="paragraph" w:styleId="Header">
    <w:name w:val="header"/>
    <w:basedOn w:val="Normal"/>
    <w:link w:val="HeaderChar"/>
    <w:uiPriority w:val="99"/>
    <w:unhideWhenUsed/>
    <w:rsid w:val="004E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F3"/>
  </w:style>
  <w:style w:type="paragraph" w:styleId="Footer">
    <w:name w:val="footer"/>
    <w:basedOn w:val="Normal"/>
    <w:link w:val="FooterChar"/>
    <w:uiPriority w:val="99"/>
    <w:unhideWhenUsed/>
    <w:rsid w:val="004E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F3"/>
  </w:style>
  <w:style w:type="table" w:styleId="TableGrid">
    <w:name w:val="Table Grid"/>
    <w:basedOn w:val="TableNormal"/>
    <w:uiPriority w:val="39"/>
    <w:rsid w:val="00524C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2018-08-02T17:58:00Z</dcterms:created>
  <dcterms:modified xsi:type="dcterms:W3CDTF">2018-08-02T17:58:00Z</dcterms:modified>
</cp:coreProperties>
</file>