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44A" w:rsidRDefault="00E3444A">
      <w:bookmarkStart w:id="0" w:name="_GoBack"/>
      <w:bookmarkEnd w:id="0"/>
    </w:p>
    <w:p w:rsidR="00690D2F" w:rsidRDefault="00690D2F"/>
    <w:p w:rsidR="00690D2F" w:rsidRDefault="00690D2F"/>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r w:rsidRPr="00690D2F">
        <w:rPr>
          <w:rFonts w:ascii="Times New Roman" w:hAnsi="Times New Roman" w:cs="Times New Roman"/>
          <w:sz w:val="24"/>
          <w:szCs w:val="24"/>
        </w:rPr>
        <w:t>California’s Comprehensive Annual Financial Report</w:t>
      </w:r>
    </w:p>
    <w:p w:rsidR="00690D2F" w:rsidRDefault="00690D2F" w:rsidP="00690D2F">
      <w:pPr>
        <w:jc w:val="center"/>
        <w:rPr>
          <w:rFonts w:ascii="Times New Roman" w:hAnsi="Times New Roman" w:cs="Times New Roman"/>
          <w:sz w:val="24"/>
          <w:szCs w:val="24"/>
        </w:rPr>
      </w:pPr>
    </w:p>
    <w:p w:rsidR="00690D2F" w:rsidRP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r w:rsidRPr="00690D2F">
        <w:rPr>
          <w:rFonts w:ascii="Times New Roman" w:hAnsi="Times New Roman" w:cs="Times New Roman"/>
          <w:sz w:val="24"/>
          <w:szCs w:val="24"/>
        </w:rPr>
        <w:t>Institution</w:t>
      </w:r>
    </w:p>
    <w:p w:rsidR="00690D2F" w:rsidRPr="00690D2F" w:rsidRDefault="00690D2F" w:rsidP="00690D2F">
      <w:pPr>
        <w:jc w:val="center"/>
        <w:rPr>
          <w:rFonts w:ascii="Times New Roman" w:hAnsi="Times New Roman" w:cs="Times New Roman"/>
          <w:sz w:val="24"/>
          <w:szCs w:val="24"/>
        </w:rPr>
      </w:pPr>
    </w:p>
    <w:p w:rsidR="00690D2F" w:rsidRDefault="00690D2F" w:rsidP="00690D2F">
      <w:pPr>
        <w:jc w:val="center"/>
        <w:rPr>
          <w:rFonts w:ascii="Times New Roman" w:hAnsi="Times New Roman" w:cs="Times New Roman"/>
          <w:sz w:val="24"/>
          <w:szCs w:val="24"/>
        </w:rPr>
      </w:pPr>
      <w:r w:rsidRPr="00690D2F">
        <w:rPr>
          <w:rFonts w:ascii="Times New Roman" w:hAnsi="Times New Roman" w:cs="Times New Roman"/>
          <w:sz w:val="24"/>
          <w:szCs w:val="24"/>
        </w:rPr>
        <w:t>Name</w:t>
      </w:r>
    </w:p>
    <w:p w:rsidR="00690D2F" w:rsidRDefault="00690D2F" w:rsidP="00690D2F">
      <w:pPr>
        <w:jc w:val="center"/>
        <w:rPr>
          <w:rFonts w:ascii="Times New Roman" w:hAnsi="Times New Roman" w:cs="Times New Roman"/>
          <w:sz w:val="24"/>
          <w:szCs w:val="24"/>
        </w:rPr>
      </w:pPr>
    </w:p>
    <w:p w:rsidR="00690D2F" w:rsidRDefault="00690D2F">
      <w:pPr>
        <w:rPr>
          <w:rFonts w:ascii="Times New Roman" w:hAnsi="Times New Roman" w:cs="Times New Roman"/>
          <w:sz w:val="24"/>
          <w:szCs w:val="24"/>
        </w:rPr>
      </w:pPr>
      <w:r>
        <w:rPr>
          <w:rFonts w:ascii="Times New Roman" w:hAnsi="Times New Roman" w:cs="Times New Roman"/>
          <w:sz w:val="24"/>
          <w:szCs w:val="24"/>
        </w:rPr>
        <w:br w:type="page"/>
      </w:r>
    </w:p>
    <w:p w:rsidR="00690D2F" w:rsidRDefault="00690D2F" w:rsidP="00690D2F">
      <w:pPr>
        <w:jc w:val="center"/>
        <w:rPr>
          <w:rFonts w:ascii="Times New Roman" w:hAnsi="Times New Roman" w:cs="Times New Roman"/>
          <w:sz w:val="24"/>
          <w:szCs w:val="24"/>
        </w:rPr>
      </w:pPr>
      <w:r>
        <w:rPr>
          <w:rFonts w:ascii="Times New Roman" w:hAnsi="Times New Roman" w:cs="Times New Roman"/>
          <w:sz w:val="24"/>
          <w:szCs w:val="24"/>
        </w:rPr>
        <w:lastRenderedPageBreak/>
        <w:t>State of California Comprehensive Annual Financial Report</w:t>
      </w:r>
    </w:p>
    <w:p w:rsidR="00690D2F" w:rsidRPr="00EE031B" w:rsidRDefault="00690D2F"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Description of the State of California</w:t>
      </w:r>
    </w:p>
    <w:p w:rsidR="00EE031B" w:rsidRPr="00EE031B" w:rsidRDefault="00EE031B"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total number of citizens in the state of California is about 40 million according to 2017 statistics. The Californian government is categorized into three major subdivision namely the Judiciary, the legislature and the executive. The legislative arm of the Californian government major role is making of laws and consists of the senate and the parliament. The executive arm of the Californian government consists of the attorney general, states’ secretary, states treasurer, state’s insurance commission and the states </w:t>
      </w:r>
      <w:r w:rsidR="005C5992">
        <w:rPr>
          <w:rFonts w:ascii="Times New Roman" w:hAnsi="Times New Roman" w:cs="Times New Roman"/>
          <w:sz w:val="24"/>
          <w:szCs w:val="24"/>
        </w:rPr>
        <w:t>administrator</w:t>
      </w:r>
      <w:r>
        <w:rPr>
          <w:rFonts w:ascii="Times New Roman" w:hAnsi="Times New Roman" w:cs="Times New Roman"/>
          <w:sz w:val="24"/>
          <w:szCs w:val="24"/>
        </w:rPr>
        <w:t xml:space="preserve"> public </w:t>
      </w:r>
      <w:r w:rsidR="005C5992">
        <w:rPr>
          <w:rFonts w:ascii="Times New Roman" w:hAnsi="Times New Roman" w:cs="Times New Roman"/>
          <w:sz w:val="24"/>
          <w:szCs w:val="24"/>
        </w:rPr>
        <w:t>instruction. Its main role is the execution of the laws made by the legislature. The judicial arm’s role is to interpret the government’s laws made by the legislature. The Californian government provides a wide range of social and human services to its citizens including free education, subsidy on the agricultural sector, incentives to small business firms among others.</w:t>
      </w:r>
    </w:p>
    <w:p w:rsidR="00690D2F"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 xml:space="preserve">Activities and Projects the Government has Spent its Funds </w:t>
      </w:r>
    </w:p>
    <w:p w:rsidR="005C5992" w:rsidRPr="005C5992" w:rsidRDefault="005C5992"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Californian government </w:t>
      </w:r>
      <w:r w:rsidR="00615C9F">
        <w:rPr>
          <w:rFonts w:ascii="Times New Roman" w:hAnsi="Times New Roman" w:cs="Times New Roman"/>
          <w:sz w:val="24"/>
          <w:szCs w:val="24"/>
        </w:rPr>
        <w:t>spends</w:t>
      </w:r>
      <w:r>
        <w:rPr>
          <w:rFonts w:ascii="Times New Roman" w:hAnsi="Times New Roman" w:cs="Times New Roman"/>
          <w:sz w:val="24"/>
          <w:szCs w:val="24"/>
        </w:rPr>
        <w:t xml:space="preserve"> its funds on both long term and short term </w:t>
      </w:r>
      <w:r w:rsidR="00615C9F">
        <w:rPr>
          <w:rFonts w:ascii="Times New Roman" w:hAnsi="Times New Roman" w:cs="Times New Roman"/>
          <w:sz w:val="24"/>
          <w:szCs w:val="24"/>
        </w:rPr>
        <w:t xml:space="preserve">projects. Long term projects include infrastructural spending, civil servants pensions and retirement benefits, reduction of taxes on business firms’ among other tax exclusions and mitigation of forest fires and hydrologic susceptibility. The main infrastructural project of the year </w:t>
      </w:r>
      <w:r w:rsidR="006C042F">
        <w:rPr>
          <w:rFonts w:ascii="Times New Roman" w:hAnsi="Times New Roman" w:cs="Times New Roman"/>
          <w:sz w:val="24"/>
          <w:szCs w:val="24"/>
        </w:rPr>
        <w:t>includes the improvement of the states transport networks including the electric trains and rail system. Other short term activities include rehabilitation projects, state’s water pollution control, electric resources and the state’s lottery program.</w:t>
      </w:r>
    </w:p>
    <w:p w:rsidR="00FD26A2"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The Audit Reports Differences</w:t>
      </w:r>
    </w:p>
    <w:p w:rsidR="00886785" w:rsidRPr="00886785" w:rsidRDefault="00886785"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audit opinion given by this government by its independent auditor’s differ from the audit opinion rendered on the financial statements for a for-profit business in that </w:t>
      </w:r>
      <w:r w:rsidR="00AB37C6">
        <w:rPr>
          <w:rFonts w:ascii="Times New Roman" w:hAnsi="Times New Roman" w:cs="Times New Roman"/>
          <w:sz w:val="24"/>
          <w:szCs w:val="24"/>
        </w:rPr>
        <w:t>this is a qualified report while for profits always have unqualified audit reports.</w:t>
      </w:r>
    </w:p>
    <w:p w:rsidR="00FD26A2"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lastRenderedPageBreak/>
        <w:t>Largest Reasons for Reconciliation</w:t>
      </w:r>
    </w:p>
    <w:p w:rsidR="00EE1D82" w:rsidRDefault="001E05D9"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figures reported under governmental activities in the statement of financial position differs from the figures in the governmental funds balance sheet because there are some capital assets used by the government during its activities though they are not financial resources and hence are not reported in the funds. Such capital assets include land, state highways infrastructure, non-depreciable collections, building and other depreciable property and amortizable intangible </w:t>
      </w:r>
      <w:r w:rsidR="00EE1D82">
        <w:rPr>
          <w:rFonts w:ascii="Times New Roman" w:hAnsi="Times New Roman" w:cs="Times New Roman"/>
          <w:sz w:val="24"/>
          <w:szCs w:val="24"/>
        </w:rPr>
        <w:t>assets. Furthermore, there is a difference in the figures reported for governmental activities and those in the statement of revenues, expenditure and changes in fund balances of governmental funds. The main reason for the differences is that expenditures is included in the governmental funds report as expenditure though in the statement of activities, these figures are allocated over their estimated useful lives as depreciation expenses. Another reason yet is some revenues not included in the government funds because they do not provide current financial resources though they are included in the s</w:t>
      </w:r>
      <w:r w:rsidR="006973F1">
        <w:rPr>
          <w:rFonts w:ascii="Times New Roman" w:hAnsi="Times New Roman" w:cs="Times New Roman"/>
          <w:sz w:val="24"/>
          <w:szCs w:val="24"/>
        </w:rPr>
        <w:t>tatement of activities.</w:t>
      </w:r>
    </w:p>
    <w:p w:rsidR="00FD26A2"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Largest Sources of General Revenues</w:t>
      </w:r>
    </w:p>
    <w:p w:rsidR="006C042F" w:rsidRPr="006C042F" w:rsidRDefault="006C042F"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state’s largest sources of general revenue comes from taxes. The several tax classes comprises of personal income taxes, sales and use taxes, business corporation taxes,motorvehicle licenses and taxes, insurance taxes, managed care organization enrollment tax and other </w:t>
      </w:r>
      <w:r w:rsidR="001E05D9">
        <w:rPr>
          <w:rFonts w:ascii="Times New Roman" w:hAnsi="Times New Roman" w:cs="Times New Roman"/>
          <w:sz w:val="24"/>
          <w:szCs w:val="24"/>
        </w:rPr>
        <w:t>taxes. Other sources of revenues includes imports,licences,permits,service charges,fees,penalties,investments,interests,escheats among others.</w:t>
      </w:r>
    </w:p>
    <w:p w:rsidR="00FD26A2" w:rsidRDefault="00FD26A2" w:rsidP="00AB37C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Expenditures</w:t>
      </w:r>
    </w:p>
    <w:p w:rsidR="006973F1" w:rsidRPr="006973F1" w:rsidRDefault="006973F1"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expenditures of the state are divided into operating expenses and </w:t>
      </w:r>
      <w:r w:rsidR="0036464F">
        <w:rPr>
          <w:rFonts w:ascii="Times New Roman" w:hAnsi="Times New Roman" w:cs="Times New Roman"/>
          <w:sz w:val="24"/>
          <w:szCs w:val="24"/>
        </w:rPr>
        <w:t xml:space="preserve">non-operative revenues. The operative expensences include </w:t>
      </w:r>
      <w:r w:rsidR="00611D72">
        <w:rPr>
          <w:rFonts w:ascii="Times New Roman" w:hAnsi="Times New Roman" w:cs="Times New Roman"/>
          <w:sz w:val="24"/>
          <w:szCs w:val="24"/>
        </w:rPr>
        <w:t xml:space="preserve">lottery prizes, power purchase, personal services, supplies, services and charges, depreciations, scholarships and fellowships, beneficiaries’ </w:t>
      </w:r>
      <w:r w:rsidR="00611D72">
        <w:rPr>
          <w:rFonts w:ascii="Times New Roman" w:hAnsi="Times New Roman" w:cs="Times New Roman"/>
          <w:sz w:val="24"/>
          <w:szCs w:val="24"/>
        </w:rPr>
        <w:lastRenderedPageBreak/>
        <w:t>distributions, interest expenses, amortization of long term prepaid charges among others. On-operating revenues which form part of the government’s expenses include donations and grants, private gifts, investments and interest losses, interest expenses and fiscal charges, lottery payment for education among others.</w:t>
      </w:r>
    </w:p>
    <w:p w:rsidR="006C042F"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Assets</w:t>
      </w:r>
    </w:p>
    <w:p w:rsidR="00611D72" w:rsidRPr="00611D72" w:rsidRDefault="00611D72"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main sources of assets for the government comes from investments. Such investments include short term investments, equity securities, debt securities, real estates, securities lending collateral among others. Other current assets includes receivables both from loans and government funds,</w:t>
      </w:r>
      <w:r w:rsidR="005517C6">
        <w:rPr>
          <w:rFonts w:ascii="Times New Roman" w:hAnsi="Times New Roman" w:cs="Times New Roman"/>
          <w:sz w:val="24"/>
          <w:szCs w:val="24"/>
        </w:rPr>
        <w:t>land,non-depreciable collections, buildings and other depreciable property, and amortizable intangible assets</w:t>
      </w:r>
    </w:p>
    <w:p w:rsidR="00FD26A2" w:rsidRPr="00EE031B" w:rsidRDefault="00FD26A2" w:rsidP="00AB37C6">
      <w:pPr>
        <w:spacing w:after="0" w:line="480" w:lineRule="auto"/>
        <w:ind w:firstLine="720"/>
        <w:contextualSpacing/>
        <w:rPr>
          <w:rFonts w:ascii="Times New Roman" w:hAnsi="Times New Roman" w:cs="Times New Roman"/>
          <w:b/>
          <w:sz w:val="24"/>
          <w:szCs w:val="24"/>
        </w:rPr>
      </w:pPr>
      <w:r w:rsidRPr="00EE031B">
        <w:rPr>
          <w:rFonts w:ascii="Times New Roman" w:hAnsi="Times New Roman" w:cs="Times New Roman"/>
          <w:b/>
          <w:sz w:val="24"/>
          <w:szCs w:val="24"/>
        </w:rPr>
        <w:t xml:space="preserve"> </w:t>
      </w:r>
    </w:p>
    <w:p w:rsidR="00FD26A2"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Number of days the Government uses to define the end of year financial resources</w:t>
      </w:r>
    </w:p>
    <w:p w:rsidR="00AB37C6" w:rsidRPr="00AB37C6" w:rsidRDefault="00AB37C6"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Just like any other state, California takes approximately 365 days to define the end of year’s financial resources. This is called the state’s fiscal year. </w:t>
      </w:r>
    </w:p>
    <w:p w:rsidR="00FD26A2" w:rsidRPr="00EE031B" w:rsidRDefault="00FD26A2" w:rsidP="00122EE6">
      <w:pPr>
        <w:spacing w:after="0" w:line="480" w:lineRule="auto"/>
        <w:contextualSpacing/>
        <w:rPr>
          <w:rFonts w:ascii="Times New Roman" w:hAnsi="Times New Roman" w:cs="Times New Roman"/>
          <w:b/>
          <w:sz w:val="24"/>
          <w:szCs w:val="24"/>
        </w:rPr>
      </w:pPr>
      <w:r w:rsidRPr="00EE031B">
        <w:rPr>
          <w:rFonts w:ascii="Times New Roman" w:hAnsi="Times New Roman" w:cs="Times New Roman"/>
          <w:b/>
          <w:sz w:val="24"/>
          <w:szCs w:val="24"/>
        </w:rPr>
        <w:t>Size of the General Fund</w:t>
      </w:r>
    </w:p>
    <w:p w:rsidR="00FD26A2" w:rsidRDefault="00AB37C6" w:rsidP="00AB37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state’s general fund increased by 12.9 billion dollars which approximates to a 5.2% increase. The current fund size is 261 billion </w:t>
      </w:r>
      <w:r w:rsidR="00F36D47">
        <w:rPr>
          <w:rFonts w:ascii="Times New Roman" w:hAnsi="Times New Roman" w:cs="Times New Roman"/>
          <w:sz w:val="24"/>
          <w:szCs w:val="24"/>
        </w:rPr>
        <w:t xml:space="preserve"> </w:t>
      </w:r>
      <w:r>
        <w:rPr>
          <w:rFonts w:ascii="Times New Roman" w:hAnsi="Times New Roman" w:cs="Times New Roman"/>
          <w:sz w:val="24"/>
          <w:szCs w:val="24"/>
        </w:rPr>
        <w:t>dollars.</w:t>
      </w:r>
    </w:p>
    <w:p w:rsidR="00690D2F" w:rsidRPr="00690D2F" w:rsidRDefault="00690D2F" w:rsidP="00AB37C6">
      <w:pPr>
        <w:spacing w:after="0" w:line="480" w:lineRule="auto"/>
        <w:ind w:firstLine="720"/>
        <w:contextualSpacing/>
        <w:rPr>
          <w:rFonts w:ascii="Times New Roman" w:hAnsi="Times New Roman" w:cs="Times New Roman"/>
          <w:sz w:val="24"/>
          <w:szCs w:val="24"/>
        </w:rPr>
      </w:pPr>
    </w:p>
    <w:sectPr w:rsidR="00690D2F" w:rsidRPr="00690D2F" w:rsidSect="004269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FC1" w:rsidRDefault="00C86FC1" w:rsidP="00426995">
      <w:pPr>
        <w:spacing w:after="0" w:line="240" w:lineRule="auto"/>
      </w:pPr>
      <w:r>
        <w:separator/>
      </w:r>
    </w:p>
  </w:endnote>
  <w:endnote w:type="continuationSeparator" w:id="0">
    <w:p w:rsidR="00C86FC1" w:rsidRDefault="00C86FC1" w:rsidP="00426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FC1" w:rsidRDefault="00C86FC1" w:rsidP="00426995">
      <w:pPr>
        <w:spacing w:after="0" w:line="240" w:lineRule="auto"/>
      </w:pPr>
      <w:r>
        <w:separator/>
      </w:r>
    </w:p>
  </w:footnote>
  <w:footnote w:type="continuationSeparator" w:id="0">
    <w:p w:rsidR="00C86FC1" w:rsidRDefault="00C86FC1" w:rsidP="004269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3517898"/>
      <w:docPartObj>
        <w:docPartGallery w:val="Page Numbers (Top of Page)"/>
        <w:docPartUnique/>
      </w:docPartObj>
    </w:sdtPr>
    <w:sdtEndPr>
      <w:rPr>
        <w:noProof/>
      </w:rPr>
    </w:sdtEndPr>
    <w:sdtContent>
      <w:p w:rsidR="00690D2F" w:rsidRPr="00690D2F" w:rsidRDefault="00690D2F">
        <w:pPr>
          <w:pStyle w:val="Header"/>
          <w:jc w:val="right"/>
          <w:rPr>
            <w:rFonts w:ascii="Times New Roman" w:hAnsi="Times New Roman" w:cs="Times New Roman"/>
            <w:sz w:val="24"/>
            <w:szCs w:val="24"/>
          </w:rPr>
        </w:pPr>
        <w:r w:rsidRPr="00690D2F">
          <w:rPr>
            <w:rFonts w:ascii="Times New Roman" w:hAnsi="Times New Roman" w:cs="Times New Roman"/>
            <w:sz w:val="24"/>
            <w:szCs w:val="24"/>
          </w:rPr>
          <w:fldChar w:fldCharType="begin"/>
        </w:r>
        <w:r w:rsidRPr="00690D2F">
          <w:rPr>
            <w:rFonts w:ascii="Times New Roman" w:hAnsi="Times New Roman" w:cs="Times New Roman"/>
            <w:sz w:val="24"/>
            <w:szCs w:val="24"/>
          </w:rPr>
          <w:instrText xml:space="preserve"> PAGE   \* MERGEFORMAT </w:instrText>
        </w:r>
        <w:r w:rsidRPr="00690D2F">
          <w:rPr>
            <w:rFonts w:ascii="Times New Roman" w:hAnsi="Times New Roman" w:cs="Times New Roman"/>
            <w:sz w:val="24"/>
            <w:szCs w:val="24"/>
          </w:rPr>
          <w:fldChar w:fldCharType="separate"/>
        </w:r>
        <w:r w:rsidR="00E47546">
          <w:rPr>
            <w:rFonts w:ascii="Times New Roman" w:hAnsi="Times New Roman" w:cs="Times New Roman"/>
            <w:noProof/>
            <w:sz w:val="24"/>
            <w:szCs w:val="24"/>
          </w:rPr>
          <w:t>4</w:t>
        </w:r>
        <w:r w:rsidRPr="00690D2F">
          <w:rPr>
            <w:rFonts w:ascii="Times New Roman" w:hAnsi="Times New Roman" w:cs="Times New Roman"/>
            <w:noProof/>
            <w:sz w:val="24"/>
            <w:szCs w:val="24"/>
          </w:rPr>
          <w:fldChar w:fldCharType="end"/>
        </w:r>
      </w:p>
    </w:sdtContent>
  </w:sdt>
  <w:p w:rsidR="00690D2F" w:rsidRPr="00690D2F" w:rsidRDefault="00690D2F">
    <w:pPr>
      <w:pStyle w:val="Header"/>
      <w:rPr>
        <w:rFonts w:ascii="Times New Roman" w:hAnsi="Times New Roman" w:cs="Times New Roman"/>
        <w:sz w:val="24"/>
        <w:szCs w:val="24"/>
      </w:rPr>
    </w:pPr>
    <w:r w:rsidRPr="00690D2F">
      <w:rPr>
        <w:rFonts w:ascii="Times New Roman" w:hAnsi="Times New Roman" w:cs="Times New Roman"/>
        <w:sz w:val="24"/>
        <w:szCs w:val="24"/>
      </w:rPr>
      <w:t>COMPREHENSIVE ANNUAL FINANCIAL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9542506"/>
      <w:docPartObj>
        <w:docPartGallery w:val="Page Numbers (Top of Page)"/>
        <w:docPartUnique/>
      </w:docPartObj>
    </w:sdtPr>
    <w:sdtEndPr>
      <w:rPr>
        <w:noProof/>
      </w:rPr>
    </w:sdtEndPr>
    <w:sdtContent>
      <w:p w:rsidR="00426995" w:rsidRPr="00690D2F" w:rsidRDefault="00426995">
        <w:pPr>
          <w:pStyle w:val="Header"/>
          <w:jc w:val="right"/>
          <w:rPr>
            <w:rFonts w:ascii="Times New Roman" w:hAnsi="Times New Roman" w:cs="Times New Roman"/>
            <w:sz w:val="24"/>
            <w:szCs w:val="24"/>
          </w:rPr>
        </w:pPr>
        <w:r w:rsidRPr="00690D2F">
          <w:rPr>
            <w:rFonts w:ascii="Times New Roman" w:hAnsi="Times New Roman" w:cs="Times New Roman"/>
            <w:sz w:val="24"/>
            <w:szCs w:val="24"/>
          </w:rPr>
          <w:fldChar w:fldCharType="begin"/>
        </w:r>
        <w:r w:rsidRPr="00690D2F">
          <w:rPr>
            <w:rFonts w:ascii="Times New Roman" w:hAnsi="Times New Roman" w:cs="Times New Roman"/>
            <w:sz w:val="24"/>
            <w:szCs w:val="24"/>
          </w:rPr>
          <w:instrText xml:space="preserve"> PAGE   \* MERGEFORMAT </w:instrText>
        </w:r>
        <w:r w:rsidRPr="00690D2F">
          <w:rPr>
            <w:rFonts w:ascii="Times New Roman" w:hAnsi="Times New Roman" w:cs="Times New Roman"/>
            <w:sz w:val="24"/>
            <w:szCs w:val="24"/>
          </w:rPr>
          <w:fldChar w:fldCharType="separate"/>
        </w:r>
        <w:r w:rsidR="00E47546">
          <w:rPr>
            <w:rFonts w:ascii="Times New Roman" w:hAnsi="Times New Roman" w:cs="Times New Roman"/>
            <w:noProof/>
            <w:sz w:val="24"/>
            <w:szCs w:val="24"/>
          </w:rPr>
          <w:t>1</w:t>
        </w:r>
        <w:r w:rsidRPr="00690D2F">
          <w:rPr>
            <w:rFonts w:ascii="Times New Roman" w:hAnsi="Times New Roman" w:cs="Times New Roman"/>
            <w:noProof/>
            <w:sz w:val="24"/>
            <w:szCs w:val="24"/>
          </w:rPr>
          <w:fldChar w:fldCharType="end"/>
        </w:r>
      </w:p>
    </w:sdtContent>
  </w:sdt>
  <w:p w:rsidR="00426995" w:rsidRPr="00690D2F" w:rsidRDefault="00426995">
    <w:pPr>
      <w:pStyle w:val="Header"/>
      <w:rPr>
        <w:rFonts w:ascii="Times New Roman" w:hAnsi="Times New Roman" w:cs="Times New Roman"/>
        <w:sz w:val="24"/>
        <w:szCs w:val="24"/>
      </w:rPr>
    </w:pPr>
    <w:r w:rsidRPr="00690D2F">
      <w:rPr>
        <w:rFonts w:ascii="Times New Roman" w:hAnsi="Times New Roman" w:cs="Times New Roman"/>
        <w:sz w:val="24"/>
        <w:szCs w:val="24"/>
      </w:rPr>
      <w:t xml:space="preserve">Running </w:t>
    </w:r>
    <w:r w:rsidR="00690D2F" w:rsidRPr="00690D2F">
      <w:rPr>
        <w:rFonts w:ascii="Times New Roman" w:hAnsi="Times New Roman" w:cs="Times New Roman"/>
        <w:sz w:val="24"/>
        <w:szCs w:val="24"/>
      </w:rPr>
      <w:t>Header: COMPREHENSIVE ANNUAL FINANCIAL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995"/>
    <w:rsid w:val="000E1318"/>
    <w:rsid w:val="00122EE6"/>
    <w:rsid w:val="001646D0"/>
    <w:rsid w:val="001E05D9"/>
    <w:rsid w:val="0036464F"/>
    <w:rsid w:val="00426995"/>
    <w:rsid w:val="005517C6"/>
    <w:rsid w:val="005C5992"/>
    <w:rsid w:val="00611D72"/>
    <w:rsid w:val="00615C9F"/>
    <w:rsid w:val="00690D2F"/>
    <w:rsid w:val="006973F1"/>
    <w:rsid w:val="006C042F"/>
    <w:rsid w:val="007F61ED"/>
    <w:rsid w:val="00886785"/>
    <w:rsid w:val="00AB37C6"/>
    <w:rsid w:val="00C86FC1"/>
    <w:rsid w:val="00E3444A"/>
    <w:rsid w:val="00E47546"/>
    <w:rsid w:val="00EE031B"/>
    <w:rsid w:val="00EE1D82"/>
    <w:rsid w:val="00F160C2"/>
    <w:rsid w:val="00F36D47"/>
    <w:rsid w:val="00FD2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995"/>
  </w:style>
  <w:style w:type="paragraph" w:styleId="Footer">
    <w:name w:val="footer"/>
    <w:basedOn w:val="Normal"/>
    <w:link w:val="FooterChar"/>
    <w:uiPriority w:val="99"/>
    <w:unhideWhenUsed/>
    <w:rsid w:val="00426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9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995"/>
  </w:style>
  <w:style w:type="paragraph" w:styleId="Footer">
    <w:name w:val="footer"/>
    <w:basedOn w:val="Normal"/>
    <w:link w:val="FooterChar"/>
    <w:uiPriority w:val="99"/>
    <w:unhideWhenUsed/>
    <w:rsid w:val="00426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2018-04-12T14:17:00Z</dcterms:created>
  <dcterms:modified xsi:type="dcterms:W3CDTF">2018-04-12T14:17:00Z</dcterms:modified>
</cp:coreProperties>
</file>