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A01" w:rsidRDefault="00A13A01" w:rsidP="00A13A01">
      <w:pPr>
        <w:pStyle w:val="APASectionHeader"/>
        <w:spacing w:after="0"/>
        <w:jc w:val="center"/>
      </w:pPr>
      <w:bookmarkStart w:id="0" w:name="_GoBack"/>
      <w:bookmarkEnd w:id="0"/>
    </w:p>
    <w:p w:rsidR="00A13A01" w:rsidRDefault="00A13A01" w:rsidP="00A13A01">
      <w:pPr>
        <w:pStyle w:val="APASectionHeader"/>
        <w:spacing w:after="0"/>
        <w:jc w:val="center"/>
      </w:pPr>
    </w:p>
    <w:p w:rsidR="00A13A01" w:rsidRDefault="00A13A01" w:rsidP="00A13A01">
      <w:pPr>
        <w:pStyle w:val="APASectionHeader"/>
        <w:spacing w:after="0"/>
        <w:jc w:val="center"/>
      </w:pPr>
    </w:p>
    <w:p w:rsidR="00A13A01" w:rsidRDefault="00A13A01" w:rsidP="00A13A01">
      <w:pPr>
        <w:pStyle w:val="APASectionHeader"/>
        <w:spacing w:after="0"/>
        <w:jc w:val="center"/>
      </w:pPr>
    </w:p>
    <w:p w:rsidR="00A13A01" w:rsidRDefault="00A13A01" w:rsidP="00A13A01">
      <w:pPr>
        <w:pStyle w:val="APASectionHeader"/>
        <w:spacing w:after="0"/>
        <w:jc w:val="center"/>
      </w:pPr>
    </w:p>
    <w:p w:rsidR="00A13A01" w:rsidRDefault="00A13A01" w:rsidP="00A13A01">
      <w:pPr>
        <w:pStyle w:val="APASectionHeader"/>
        <w:spacing w:after="0"/>
        <w:jc w:val="center"/>
      </w:pPr>
    </w:p>
    <w:p w:rsidR="00A13A01" w:rsidRDefault="00A13A01" w:rsidP="00A13A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Fundraising Strategy</w:t>
      </w:r>
    </w:p>
    <w:p w:rsidR="00A13A01" w:rsidRPr="00A13A01" w:rsidRDefault="00A13A01" w:rsidP="00A13A01">
      <w:pPr>
        <w:spacing w:line="480" w:lineRule="auto"/>
        <w:ind w:firstLine="720"/>
        <w:jc w:val="center"/>
        <w:rPr>
          <w:rFonts w:ascii="Times New Roman" w:hAnsi="Times New Roman" w:cs="Times New Roman"/>
          <w:sz w:val="24"/>
          <w:szCs w:val="24"/>
        </w:rPr>
      </w:pPr>
      <w:r>
        <w:t>Name</w:t>
      </w:r>
    </w:p>
    <w:p w:rsidR="00A13A01" w:rsidRPr="007A258F" w:rsidRDefault="00A13A01" w:rsidP="00A13A01">
      <w:pPr>
        <w:pStyle w:val="APASectionHeader"/>
        <w:spacing w:after="0"/>
        <w:ind w:firstLine="720"/>
        <w:jc w:val="center"/>
      </w:pPr>
      <w:r>
        <w:t>Institution</w:t>
      </w:r>
    </w:p>
    <w:p w:rsidR="00A13A01" w:rsidRDefault="00A13A01">
      <w:pPr>
        <w:rPr>
          <w:rFonts w:ascii="Times New Roman" w:hAnsi="Times New Roman" w:cs="Times New Roman"/>
          <w:b/>
          <w:sz w:val="24"/>
          <w:szCs w:val="24"/>
        </w:rPr>
      </w:pPr>
      <w:r>
        <w:rPr>
          <w:rFonts w:ascii="Times New Roman" w:hAnsi="Times New Roman" w:cs="Times New Roman"/>
          <w:b/>
          <w:sz w:val="24"/>
          <w:szCs w:val="24"/>
        </w:rPr>
        <w:br w:type="page"/>
      </w:r>
    </w:p>
    <w:p w:rsidR="00A13A01" w:rsidRPr="00A13A01" w:rsidRDefault="00A13A01" w:rsidP="00A13A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Fundraising Strategy</w:t>
      </w:r>
    </w:p>
    <w:p w:rsidR="00F218AC" w:rsidRPr="00A13A01" w:rsidRDefault="00F218AC" w:rsidP="00064837">
      <w:pPr>
        <w:spacing w:line="480" w:lineRule="auto"/>
        <w:ind w:firstLine="720"/>
        <w:rPr>
          <w:rFonts w:ascii="Times New Roman" w:hAnsi="Times New Roman" w:cs="Times New Roman"/>
          <w:b/>
          <w:sz w:val="24"/>
          <w:szCs w:val="24"/>
        </w:rPr>
      </w:pPr>
      <w:r w:rsidRPr="00A13A01">
        <w:rPr>
          <w:rFonts w:ascii="Times New Roman" w:hAnsi="Times New Roman" w:cs="Times New Roman"/>
          <w:b/>
          <w:sz w:val="24"/>
          <w:szCs w:val="24"/>
        </w:rPr>
        <w:t>Introduction</w:t>
      </w:r>
    </w:p>
    <w:p w:rsidR="00A13A01" w:rsidRDefault="00F727C3" w:rsidP="00064837">
      <w:pPr>
        <w:spacing w:line="480" w:lineRule="auto"/>
        <w:ind w:firstLine="720"/>
        <w:rPr>
          <w:rFonts w:ascii="Times New Roman" w:hAnsi="Times New Roman" w:cs="Times New Roman"/>
          <w:sz w:val="24"/>
          <w:szCs w:val="24"/>
        </w:rPr>
      </w:pPr>
      <w:r w:rsidRPr="00A13A01">
        <w:rPr>
          <w:rFonts w:ascii="Times New Roman" w:hAnsi="Times New Roman" w:cs="Times New Roman"/>
          <w:sz w:val="24"/>
          <w:szCs w:val="24"/>
        </w:rPr>
        <w:t>Non-government Organization runs its procedure on benefactor financing</w:t>
      </w:r>
      <w:r w:rsidR="0047370D" w:rsidRPr="00A13A01">
        <w:rPr>
          <w:rFonts w:ascii="Times New Roman" w:hAnsi="Times New Roman" w:cs="Times New Roman"/>
          <w:sz w:val="24"/>
          <w:szCs w:val="24"/>
        </w:rPr>
        <w:t xml:space="preserve"> (“Addition of Funding Source,” 2019, p. 276)</w:t>
      </w:r>
      <w:r w:rsidRPr="00A13A01">
        <w:rPr>
          <w:rFonts w:ascii="Times New Roman" w:hAnsi="Times New Roman" w:cs="Times New Roman"/>
          <w:sz w:val="24"/>
          <w:szCs w:val="24"/>
        </w:rPr>
        <w:t>. Respective and multilateral are the most prevail subsidizing for as long as a decade to now. These assets start either from the unfamiliar workplaces of the created nations or from the multilateral associations set up by various nations, f</w:t>
      </w:r>
      <w:r w:rsidR="0047370D" w:rsidRPr="00A13A01">
        <w:rPr>
          <w:rFonts w:ascii="Times New Roman" w:hAnsi="Times New Roman" w:cs="Times New Roman"/>
          <w:sz w:val="24"/>
          <w:szCs w:val="24"/>
        </w:rPr>
        <w:t xml:space="preserve">or example, the United Nations and </w:t>
      </w:r>
      <w:r w:rsidRPr="00A13A01">
        <w:rPr>
          <w:rFonts w:ascii="Times New Roman" w:hAnsi="Times New Roman" w:cs="Times New Roman"/>
          <w:sz w:val="24"/>
          <w:szCs w:val="24"/>
        </w:rPr>
        <w:t>the World Bank</w:t>
      </w:r>
      <w:r w:rsidR="0047370D" w:rsidRPr="00A13A01">
        <w:rPr>
          <w:rFonts w:ascii="Times New Roman" w:hAnsi="Times New Roman" w:cs="Times New Roman"/>
          <w:sz w:val="24"/>
          <w:szCs w:val="24"/>
        </w:rPr>
        <w:t xml:space="preserve"> (Ibrisevic, 2020)</w:t>
      </w:r>
      <w:r w:rsidRPr="00A13A01">
        <w:rPr>
          <w:rFonts w:ascii="Times New Roman" w:hAnsi="Times New Roman" w:cs="Times New Roman"/>
          <w:sz w:val="24"/>
          <w:szCs w:val="24"/>
        </w:rPr>
        <w:t>. The associations are not mostly appointed to infuse cash into NGOs yet reduce destitution and increment advancement in agricultural nations, also, can help NGOs with a monetary guide. Another significant benefactor reserve is private associations that are all the more secretly took care of and have a superior spotlight on preparing neighborhood NGOs monetarily as well as in fact</w:t>
      </w:r>
      <w:r w:rsidR="0047370D" w:rsidRPr="00A13A01">
        <w:rPr>
          <w:rFonts w:ascii="Times New Roman" w:hAnsi="Times New Roman" w:cs="Times New Roman"/>
          <w:sz w:val="24"/>
          <w:szCs w:val="24"/>
        </w:rPr>
        <w:t xml:space="preserve"> (Ibrisevic, 2020)</w:t>
      </w:r>
      <w:r w:rsidRPr="00A13A01">
        <w:rPr>
          <w:rFonts w:ascii="Times New Roman" w:hAnsi="Times New Roman" w:cs="Times New Roman"/>
          <w:sz w:val="24"/>
          <w:szCs w:val="24"/>
        </w:rPr>
        <w:t xml:space="preserve">. NGOs can likewise view the corporate offices as another significant wellspring of financing for them. </w:t>
      </w:r>
    </w:p>
    <w:p w:rsidR="00F727C3" w:rsidRPr="00A13A01" w:rsidRDefault="00F727C3" w:rsidP="00064837">
      <w:pPr>
        <w:spacing w:line="480" w:lineRule="auto"/>
        <w:ind w:firstLine="720"/>
        <w:rPr>
          <w:rFonts w:ascii="Times New Roman" w:hAnsi="Times New Roman" w:cs="Times New Roman"/>
          <w:sz w:val="24"/>
          <w:szCs w:val="24"/>
        </w:rPr>
      </w:pPr>
      <w:r w:rsidRPr="00A13A01">
        <w:rPr>
          <w:rFonts w:ascii="Times New Roman" w:hAnsi="Times New Roman" w:cs="Times New Roman"/>
          <w:sz w:val="24"/>
          <w:szCs w:val="24"/>
        </w:rPr>
        <w:t>There are additionally global corporate gatherings that have Corporate Social Responsibility (CSR) plan for upgrading value, social equity and advancement. The corporate organizations are likewise cooperating with NGOs for joint benefit situated activities. In certain nations, the local governments are likewise a significant wellspring of subsidizing as they have diverse network government assistance and advancement plans which NGOs can apply and raise assets and actualize ventures in a type of Grant</w:t>
      </w:r>
      <w:r w:rsidR="0047370D" w:rsidRPr="00A13A01">
        <w:rPr>
          <w:rFonts w:ascii="Times New Roman" w:hAnsi="Times New Roman" w:cs="Times New Roman"/>
          <w:sz w:val="24"/>
          <w:szCs w:val="24"/>
        </w:rPr>
        <w:t xml:space="preserve"> (Ibrisevic, 2020)</w:t>
      </w:r>
      <w:r w:rsidRPr="00A13A01">
        <w:rPr>
          <w:rFonts w:ascii="Times New Roman" w:hAnsi="Times New Roman" w:cs="Times New Roman"/>
          <w:sz w:val="24"/>
          <w:szCs w:val="24"/>
        </w:rPr>
        <w:t xml:space="preserve">. Gifts a lot, generally from people or casual gatherings are additionally wellsprings of subsidizing for NGOs. At last, the non-customary assets incorporate the miniature undertakings, microfinance and miniature protection. In any case, the wide range of giver subsidizing, there is a requirement for NGOs to have a gathering pledges methodology that will be utilized to accomplish new benefactors and </w:t>
      </w:r>
      <w:r w:rsidRPr="00A13A01">
        <w:rPr>
          <w:rFonts w:ascii="Times New Roman" w:hAnsi="Times New Roman" w:cs="Times New Roman"/>
          <w:sz w:val="24"/>
          <w:szCs w:val="24"/>
        </w:rPr>
        <w:lastRenderedPageBreak/>
        <w:t>hold them. For effectively created and well known NGOs the assistance of their gift is steady and significant when contrasted with that of a recently established NGO</w:t>
      </w:r>
      <w:r w:rsidR="0047370D" w:rsidRPr="00A13A01">
        <w:rPr>
          <w:rFonts w:ascii="Times New Roman" w:hAnsi="Times New Roman" w:cs="Times New Roman"/>
          <w:sz w:val="24"/>
          <w:szCs w:val="24"/>
        </w:rPr>
        <w:t xml:space="preserve"> (Foster et al., 2009; Ibrisevic, 2020). </w:t>
      </w:r>
      <w:r w:rsidRPr="00A13A01">
        <w:rPr>
          <w:rFonts w:ascii="Times New Roman" w:hAnsi="Times New Roman" w:cs="Times New Roman"/>
          <w:sz w:val="24"/>
          <w:szCs w:val="24"/>
        </w:rPr>
        <w:t xml:space="preserve">The association needs to assemble a sweeping base of individual providers to search after their primary objective set. Gathering pledges system help association which has a shortfall on the monetary arrangement with the information they need to set up, keep up, and grow a productive organization based fund-raising project. </w:t>
      </w:r>
    </w:p>
    <w:p w:rsidR="005973E4" w:rsidRPr="00A13A01" w:rsidRDefault="00F727C3" w:rsidP="00F727C3">
      <w:pPr>
        <w:spacing w:line="480" w:lineRule="auto"/>
        <w:ind w:firstLine="720"/>
        <w:rPr>
          <w:rFonts w:ascii="Times New Roman" w:hAnsi="Times New Roman" w:cs="Times New Roman"/>
          <w:sz w:val="24"/>
          <w:szCs w:val="24"/>
        </w:rPr>
      </w:pPr>
      <w:r w:rsidRPr="00A13A01">
        <w:rPr>
          <w:rFonts w:ascii="Times New Roman" w:hAnsi="Times New Roman" w:cs="Times New Roman"/>
          <w:sz w:val="24"/>
          <w:szCs w:val="24"/>
        </w:rPr>
        <w:t>While making monetary raising support technique new NGOs need to have as a top priority, the name of the NGO isn</w:t>
      </w:r>
      <w:r w:rsidR="00A13A01">
        <w:rPr>
          <w:rFonts w:ascii="Times New Roman" w:hAnsi="Times New Roman" w:cs="Times New Roman"/>
          <w:sz w:val="24"/>
          <w:szCs w:val="24"/>
        </w:rPr>
        <w:t>’</w:t>
      </w:r>
      <w:r w:rsidRPr="00A13A01">
        <w:rPr>
          <w:rFonts w:ascii="Times New Roman" w:hAnsi="Times New Roman" w:cs="Times New Roman"/>
          <w:sz w:val="24"/>
          <w:szCs w:val="24"/>
        </w:rPr>
        <w:t>t on the guide or in the mouth of people. Additionally, regardless, when they find out about the association, various people won</w:t>
      </w:r>
      <w:r w:rsidR="00A13A01">
        <w:rPr>
          <w:rFonts w:ascii="Times New Roman" w:hAnsi="Times New Roman" w:cs="Times New Roman"/>
          <w:sz w:val="24"/>
          <w:szCs w:val="24"/>
        </w:rPr>
        <w:t>’</w:t>
      </w:r>
      <w:r w:rsidRPr="00A13A01">
        <w:rPr>
          <w:rFonts w:ascii="Times New Roman" w:hAnsi="Times New Roman" w:cs="Times New Roman"/>
          <w:sz w:val="24"/>
          <w:szCs w:val="24"/>
        </w:rPr>
        <w:t xml:space="preserve">t fathom what you are endeavoring to do. Several people who do grasp may vary with you, particularly on the off chance that you are endeavoring to shake things up. To be sure, even those in sympathy for </w:t>
      </w:r>
      <w:r w:rsidR="00CE08DA" w:rsidRPr="00A13A01">
        <w:rPr>
          <w:rFonts w:ascii="Times New Roman" w:hAnsi="Times New Roman" w:cs="Times New Roman"/>
          <w:sz w:val="24"/>
          <w:szCs w:val="24"/>
        </w:rPr>
        <w:t>the</w:t>
      </w:r>
      <w:r w:rsidRPr="00A13A01">
        <w:rPr>
          <w:rFonts w:ascii="Times New Roman" w:hAnsi="Times New Roman" w:cs="Times New Roman"/>
          <w:sz w:val="24"/>
          <w:szCs w:val="24"/>
        </w:rPr>
        <w:t xml:space="preserve"> focal objective may think </w:t>
      </w:r>
      <w:r w:rsidR="00CE08DA" w:rsidRPr="00A13A01">
        <w:rPr>
          <w:rFonts w:ascii="Times New Roman" w:hAnsi="Times New Roman" w:cs="Times New Roman"/>
          <w:sz w:val="24"/>
          <w:szCs w:val="24"/>
        </w:rPr>
        <w:t>they</w:t>
      </w:r>
      <w:r w:rsidRPr="00A13A01">
        <w:rPr>
          <w:rFonts w:ascii="Times New Roman" w:hAnsi="Times New Roman" w:cs="Times New Roman"/>
          <w:sz w:val="24"/>
          <w:szCs w:val="24"/>
        </w:rPr>
        <w:t xml:space="preserve"> </w:t>
      </w:r>
      <w:r w:rsidR="00A13A01" w:rsidRPr="00A13A01">
        <w:rPr>
          <w:rFonts w:ascii="Times New Roman" w:hAnsi="Times New Roman" w:cs="Times New Roman"/>
          <w:sz w:val="24"/>
          <w:szCs w:val="24"/>
        </w:rPr>
        <w:t>focus</w:t>
      </w:r>
      <w:r w:rsidRPr="00A13A01">
        <w:rPr>
          <w:rFonts w:ascii="Times New Roman" w:hAnsi="Times New Roman" w:cs="Times New Roman"/>
          <w:sz w:val="24"/>
          <w:szCs w:val="24"/>
        </w:rPr>
        <w:t xml:space="preserve"> are sadly honest or confident; you may consistently be encouraged to </w:t>
      </w:r>
      <w:r w:rsidR="00A13A01">
        <w:rPr>
          <w:rFonts w:ascii="Times New Roman" w:hAnsi="Times New Roman" w:cs="Times New Roman"/>
          <w:sz w:val="24"/>
          <w:szCs w:val="24"/>
        </w:rPr>
        <w:t>“</w:t>
      </w:r>
      <w:r w:rsidRPr="00A13A01">
        <w:rPr>
          <w:rFonts w:ascii="Times New Roman" w:hAnsi="Times New Roman" w:cs="Times New Roman"/>
          <w:sz w:val="24"/>
          <w:szCs w:val="24"/>
        </w:rPr>
        <w:t>face reality.</w:t>
      </w:r>
      <w:r w:rsidR="00A13A01">
        <w:rPr>
          <w:rFonts w:ascii="Times New Roman" w:hAnsi="Times New Roman" w:cs="Times New Roman"/>
          <w:sz w:val="24"/>
          <w:szCs w:val="24"/>
        </w:rPr>
        <w:t>”</w:t>
      </w:r>
      <w:r w:rsidRPr="00A13A01">
        <w:rPr>
          <w:rFonts w:ascii="Times New Roman" w:hAnsi="Times New Roman" w:cs="Times New Roman"/>
          <w:sz w:val="24"/>
          <w:szCs w:val="24"/>
        </w:rPr>
        <w:t xml:space="preserve"> If the new association isn</w:t>
      </w:r>
      <w:r w:rsidR="00A13A01">
        <w:rPr>
          <w:rFonts w:ascii="Times New Roman" w:hAnsi="Times New Roman" w:cs="Times New Roman"/>
          <w:sz w:val="24"/>
          <w:szCs w:val="24"/>
        </w:rPr>
        <w:t>’</w:t>
      </w:r>
      <w:r w:rsidRPr="00A13A01">
        <w:rPr>
          <w:rFonts w:ascii="Times New Roman" w:hAnsi="Times New Roman" w:cs="Times New Roman"/>
          <w:sz w:val="24"/>
          <w:szCs w:val="24"/>
        </w:rPr>
        <w:t xml:space="preserve">t in arrangement to its objectives then it might confront destruction. This examination will give various ways a newly discovered NGO can use on existing occasions, contacts of existing NGO and creating accomplices to have the option to gather pledges for the task they </w:t>
      </w:r>
      <w:r w:rsidR="00AA5403" w:rsidRPr="00A13A01">
        <w:rPr>
          <w:rFonts w:ascii="Times New Roman" w:hAnsi="Times New Roman" w:cs="Times New Roman"/>
          <w:sz w:val="24"/>
          <w:szCs w:val="24"/>
        </w:rPr>
        <w:t>plan to actualize in the community</w:t>
      </w:r>
      <w:r w:rsidRPr="00A13A01">
        <w:rPr>
          <w:rFonts w:ascii="Times New Roman" w:hAnsi="Times New Roman" w:cs="Times New Roman"/>
          <w:sz w:val="24"/>
          <w:szCs w:val="24"/>
        </w:rPr>
        <w:t xml:space="preserve">. </w:t>
      </w:r>
    </w:p>
    <w:p w:rsidR="00AA5403" w:rsidRPr="00A13A01" w:rsidRDefault="00D803A4" w:rsidP="00F52ED3">
      <w:pPr>
        <w:spacing w:line="480" w:lineRule="auto"/>
        <w:rPr>
          <w:rFonts w:ascii="Times New Roman" w:hAnsi="Times New Roman" w:cs="Times New Roman"/>
          <w:b/>
          <w:sz w:val="24"/>
          <w:szCs w:val="24"/>
        </w:rPr>
      </w:pPr>
      <w:r w:rsidRPr="00A13A01">
        <w:rPr>
          <w:rFonts w:ascii="Times New Roman" w:hAnsi="Times New Roman" w:cs="Times New Roman"/>
          <w:b/>
          <w:sz w:val="24"/>
          <w:szCs w:val="24"/>
        </w:rPr>
        <w:t>Strategies for Acquiring and Keeping Donors</w:t>
      </w:r>
    </w:p>
    <w:p w:rsidR="00F52ED3" w:rsidRPr="00A13A01" w:rsidRDefault="00F52ED3" w:rsidP="00A13A01">
      <w:pPr>
        <w:pStyle w:val="ListParagraph"/>
        <w:numPr>
          <w:ilvl w:val="0"/>
          <w:numId w:val="2"/>
        </w:numPr>
        <w:spacing w:line="480" w:lineRule="auto"/>
        <w:rPr>
          <w:rFonts w:ascii="Times New Roman" w:hAnsi="Times New Roman" w:cs="Times New Roman"/>
          <w:b/>
          <w:sz w:val="24"/>
          <w:szCs w:val="24"/>
        </w:rPr>
      </w:pPr>
      <w:r w:rsidRPr="00A13A01">
        <w:rPr>
          <w:rFonts w:ascii="Times New Roman" w:hAnsi="Times New Roman" w:cs="Times New Roman"/>
          <w:b/>
          <w:sz w:val="24"/>
          <w:szCs w:val="24"/>
        </w:rPr>
        <w:t>Seek prospects donors and ask for money</w:t>
      </w:r>
    </w:p>
    <w:p w:rsidR="00F218AC" w:rsidRPr="00A13A01" w:rsidRDefault="00F52ED3" w:rsidP="00064837">
      <w:pPr>
        <w:spacing w:line="480" w:lineRule="auto"/>
        <w:rPr>
          <w:rFonts w:ascii="Times New Roman" w:hAnsi="Times New Roman" w:cs="Times New Roman"/>
          <w:sz w:val="24"/>
          <w:szCs w:val="24"/>
        </w:rPr>
      </w:pPr>
      <w:r w:rsidRPr="00A13A01">
        <w:rPr>
          <w:rFonts w:ascii="Times New Roman" w:hAnsi="Times New Roman" w:cs="Times New Roman"/>
          <w:sz w:val="24"/>
          <w:szCs w:val="24"/>
        </w:rPr>
        <w:tab/>
      </w:r>
      <w:r w:rsidR="00064837" w:rsidRPr="00A13A01">
        <w:rPr>
          <w:rFonts w:ascii="Times New Roman" w:hAnsi="Times New Roman" w:cs="Times New Roman"/>
          <w:sz w:val="24"/>
          <w:szCs w:val="24"/>
        </w:rPr>
        <w:t xml:space="preserve">New organization needs to identify prospect donors who are in line with their set clear objective and goal as well as the advancement of the programs intended to be implemented. When the organization has a superior comprehension of their benefactors and what is imperative to them, they can interface/interact with them in an important and significant manner. To </w:t>
      </w:r>
      <w:r w:rsidR="00064837" w:rsidRPr="00A13A01">
        <w:rPr>
          <w:rFonts w:ascii="Times New Roman" w:hAnsi="Times New Roman" w:cs="Times New Roman"/>
          <w:sz w:val="24"/>
          <w:szCs w:val="24"/>
        </w:rPr>
        <w:lastRenderedPageBreak/>
        <w:t xml:space="preserve">disentangle this cycle, numerous associations decide to make contributor profiles or giver personas to assist them with picturing commonplace allies. A contributor persona is a portrayal of a regular benefactor that fuses their segment data, objectives, interests, and their favored correspondence style. To comprehend </w:t>
      </w:r>
      <w:r w:rsidR="00A13A01">
        <w:rPr>
          <w:rFonts w:ascii="Times New Roman" w:hAnsi="Times New Roman" w:cs="Times New Roman"/>
          <w:sz w:val="24"/>
          <w:szCs w:val="24"/>
        </w:rPr>
        <w:t>the</w:t>
      </w:r>
      <w:r w:rsidR="00064837" w:rsidRPr="00A13A01">
        <w:rPr>
          <w:rFonts w:ascii="Times New Roman" w:hAnsi="Times New Roman" w:cs="Times New Roman"/>
          <w:sz w:val="24"/>
          <w:szCs w:val="24"/>
        </w:rPr>
        <w:t xml:space="preserve"> givers:</w:t>
      </w:r>
      <w:r w:rsidR="00F218AC" w:rsidRPr="00A13A01">
        <w:rPr>
          <w:rFonts w:ascii="Times New Roman" w:hAnsi="Times New Roman" w:cs="Times New Roman"/>
          <w:sz w:val="24"/>
          <w:szCs w:val="24"/>
        </w:rPr>
        <w:t xml:space="preserve"> </w:t>
      </w:r>
    </w:p>
    <w:p w:rsidR="00F218AC" w:rsidRPr="00A13A01" w:rsidRDefault="00064837" w:rsidP="00F218AC">
      <w:pPr>
        <w:pStyle w:val="ListParagraph"/>
        <w:numPr>
          <w:ilvl w:val="0"/>
          <w:numId w:val="1"/>
        </w:numPr>
        <w:spacing w:line="480" w:lineRule="auto"/>
        <w:rPr>
          <w:rFonts w:ascii="Times New Roman" w:hAnsi="Times New Roman" w:cs="Times New Roman"/>
          <w:sz w:val="24"/>
          <w:szCs w:val="24"/>
        </w:rPr>
      </w:pPr>
      <w:r w:rsidRPr="00A13A01">
        <w:rPr>
          <w:rFonts w:ascii="Times New Roman" w:hAnsi="Times New Roman" w:cs="Times New Roman"/>
          <w:sz w:val="24"/>
          <w:szCs w:val="24"/>
        </w:rPr>
        <w:t xml:space="preserve">Think about </w:t>
      </w:r>
      <w:r w:rsidR="00CE08DA" w:rsidRPr="00A13A01">
        <w:rPr>
          <w:rFonts w:ascii="Times New Roman" w:hAnsi="Times New Roman" w:cs="Times New Roman"/>
          <w:sz w:val="24"/>
          <w:szCs w:val="24"/>
        </w:rPr>
        <w:t>they</w:t>
      </w:r>
      <w:r w:rsidRPr="00A13A01">
        <w:rPr>
          <w:rFonts w:ascii="Times New Roman" w:hAnsi="Times New Roman" w:cs="Times New Roman"/>
          <w:sz w:val="24"/>
          <w:szCs w:val="24"/>
        </w:rPr>
        <w:t xml:space="preserve"> benefactors' socioeconomics</w:t>
      </w:r>
      <w:r w:rsidR="00A13A01">
        <w:rPr>
          <w:rFonts w:ascii="Times New Roman" w:hAnsi="Times New Roman" w:cs="Times New Roman"/>
          <w:sz w:val="24"/>
          <w:szCs w:val="24"/>
        </w:rPr>
        <w:t xml:space="preserve"> state</w:t>
      </w:r>
      <w:r w:rsidRPr="00A13A01">
        <w:rPr>
          <w:rFonts w:ascii="Times New Roman" w:hAnsi="Times New Roman" w:cs="Times New Roman"/>
          <w:sz w:val="24"/>
          <w:szCs w:val="24"/>
        </w:rPr>
        <w:t>.</w:t>
      </w:r>
    </w:p>
    <w:p w:rsidR="00F218AC" w:rsidRPr="00A13A01" w:rsidRDefault="00064837" w:rsidP="00064837">
      <w:pPr>
        <w:pStyle w:val="ListParagraph"/>
        <w:numPr>
          <w:ilvl w:val="0"/>
          <w:numId w:val="1"/>
        </w:numPr>
        <w:spacing w:line="480" w:lineRule="auto"/>
        <w:rPr>
          <w:rFonts w:ascii="Times New Roman" w:hAnsi="Times New Roman" w:cs="Times New Roman"/>
          <w:sz w:val="24"/>
          <w:szCs w:val="24"/>
        </w:rPr>
      </w:pPr>
      <w:r w:rsidRPr="00A13A01">
        <w:rPr>
          <w:rFonts w:ascii="Times New Roman" w:hAnsi="Times New Roman" w:cs="Times New Roman"/>
          <w:sz w:val="24"/>
          <w:szCs w:val="24"/>
        </w:rPr>
        <w:t>T</w:t>
      </w:r>
      <w:r w:rsidR="00F218AC" w:rsidRPr="00A13A01">
        <w:rPr>
          <w:rFonts w:ascii="Times New Roman" w:hAnsi="Times New Roman" w:cs="Times New Roman"/>
          <w:sz w:val="24"/>
          <w:szCs w:val="24"/>
        </w:rPr>
        <w:t xml:space="preserve">hink about their inclinations; ideal approach to contact them and their correspondence style and if they have other contact willing and a frequent giver, </w:t>
      </w:r>
    </w:p>
    <w:p w:rsidR="00064837" w:rsidRPr="00A13A01" w:rsidRDefault="00064837" w:rsidP="00064837">
      <w:pPr>
        <w:pStyle w:val="ListParagraph"/>
        <w:numPr>
          <w:ilvl w:val="0"/>
          <w:numId w:val="1"/>
        </w:numPr>
        <w:spacing w:line="480" w:lineRule="auto"/>
        <w:rPr>
          <w:rFonts w:ascii="Times New Roman" w:hAnsi="Times New Roman" w:cs="Times New Roman"/>
          <w:sz w:val="24"/>
          <w:szCs w:val="24"/>
        </w:rPr>
      </w:pPr>
      <w:r w:rsidRPr="00A13A01">
        <w:rPr>
          <w:rFonts w:ascii="Times New Roman" w:hAnsi="Times New Roman" w:cs="Times New Roman"/>
          <w:sz w:val="24"/>
          <w:szCs w:val="24"/>
        </w:rPr>
        <w:t>Think about t</w:t>
      </w:r>
      <w:r w:rsidR="00F218AC" w:rsidRPr="00A13A01">
        <w:rPr>
          <w:rFonts w:ascii="Times New Roman" w:hAnsi="Times New Roman" w:cs="Times New Roman"/>
          <w:sz w:val="24"/>
          <w:szCs w:val="24"/>
        </w:rPr>
        <w:t xml:space="preserve">heir practices and interests; </w:t>
      </w:r>
      <w:r w:rsidR="00BF482D" w:rsidRPr="00A13A01">
        <w:rPr>
          <w:rFonts w:ascii="Times New Roman" w:hAnsi="Times New Roman" w:cs="Times New Roman"/>
          <w:sz w:val="24"/>
          <w:szCs w:val="24"/>
        </w:rPr>
        <w:t>w</w:t>
      </w:r>
      <w:r w:rsidRPr="00A13A01">
        <w:rPr>
          <w:rFonts w:ascii="Times New Roman" w:hAnsi="Times New Roman" w:cs="Times New Roman"/>
          <w:sz w:val="24"/>
          <w:szCs w:val="24"/>
        </w:rPr>
        <w:t xml:space="preserve">hat drives them and persuades them? </w:t>
      </w:r>
    </w:p>
    <w:p w:rsidR="00BF482D" w:rsidRPr="00A13A01" w:rsidRDefault="00BF482D" w:rsidP="00BF482D">
      <w:pPr>
        <w:spacing w:line="480" w:lineRule="auto"/>
        <w:rPr>
          <w:rFonts w:ascii="Times New Roman" w:hAnsi="Times New Roman" w:cs="Times New Roman"/>
          <w:sz w:val="24"/>
          <w:szCs w:val="24"/>
        </w:rPr>
      </w:pPr>
      <w:r w:rsidRPr="00A13A01">
        <w:rPr>
          <w:rFonts w:ascii="Times New Roman" w:hAnsi="Times New Roman" w:cs="Times New Roman"/>
          <w:sz w:val="24"/>
          <w:szCs w:val="24"/>
        </w:rPr>
        <w:t xml:space="preserve">At whatever point you've made </w:t>
      </w:r>
      <w:r w:rsidR="00A13A01">
        <w:rPr>
          <w:rFonts w:ascii="Times New Roman" w:hAnsi="Times New Roman" w:cs="Times New Roman"/>
          <w:sz w:val="24"/>
          <w:szCs w:val="24"/>
        </w:rPr>
        <w:t>the patron personas, share</w:t>
      </w:r>
      <w:r w:rsidRPr="00A13A01">
        <w:rPr>
          <w:rFonts w:ascii="Times New Roman" w:hAnsi="Times New Roman" w:cs="Times New Roman"/>
          <w:sz w:val="24"/>
          <w:szCs w:val="24"/>
        </w:rPr>
        <w:t xml:space="preserve"> with </w:t>
      </w:r>
      <w:r w:rsidR="00CE08DA" w:rsidRPr="00A13A01">
        <w:rPr>
          <w:rFonts w:ascii="Times New Roman" w:hAnsi="Times New Roman" w:cs="Times New Roman"/>
          <w:sz w:val="24"/>
          <w:szCs w:val="24"/>
        </w:rPr>
        <w:t>the</w:t>
      </w:r>
      <w:r w:rsidRPr="00A13A01">
        <w:rPr>
          <w:rFonts w:ascii="Times New Roman" w:hAnsi="Times New Roman" w:cs="Times New Roman"/>
          <w:sz w:val="24"/>
          <w:szCs w:val="24"/>
        </w:rPr>
        <w:t xml:space="preserve"> entire group. This may be the basic approach to use while prospecting new donors. Persistently have them at the highest point of the need list while conveying such correspondence to </w:t>
      </w:r>
      <w:r w:rsidR="00CE08DA" w:rsidRPr="00A13A01">
        <w:rPr>
          <w:rFonts w:ascii="Times New Roman" w:hAnsi="Times New Roman" w:cs="Times New Roman"/>
          <w:sz w:val="24"/>
          <w:szCs w:val="24"/>
        </w:rPr>
        <w:t xml:space="preserve">the </w:t>
      </w:r>
      <w:r w:rsidRPr="00A13A01">
        <w:rPr>
          <w:rFonts w:ascii="Times New Roman" w:hAnsi="Times New Roman" w:cs="Times New Roman"/>
          <w:sz w:val="24"/>
          <w:szCs w:val="24"/>
        </w:rPr>
        <w:t xml:space="preserve">sponsors. Consider modifying these personas in transit, especially when you get more data or build up </w:t>
      </w:r>
      <w:r w:rsidR="00CE08DA" w:rsidRPr="00A13A01">
        <w:rPr>
          <w:rFonts w:ascii="Times New Roman" w:hAnsi="Times New Roman" w:cs="Times New Roman"/>
          <w:sz w:val="24"/>
          <w:szCs w:val="24"/>
        </w:rPr>
        <w:t>they</w:t>
      </w:r>
      <w:r w:rsidRPr="00A13A01">
        <w:rPr>
          <w:rFonts w:ascii="Times New Roman" w:hAnsi="Times New Roman" w:cs="Times New Roman"/>
          <w:sz w:val="24"/>
          <w:szCs w:val="24"/>
        </w:rPr>
        <w:t xml:space="preserve"> giver base.</w:t>
      </w:r>
    </w:p>
    <w:p w:rsidR="00BF482D" w:rsidRPr="00A13A01" w:rsidRDefault="00CE08DA" w:rsidP="00A13A01">
      <w:pPr>
        <w:pStyle w:val="ListParagraph"/>
        <w:numPr>
          <w:ilvl w:val="0"/>
          <w:numId w:val="2"/>
        </w:numPr>
        <w:spacing w:line="480" w:lineRule="auto"/>
        <w:rPr>
          <w:rFonts w:ascii="Times New Roman" w:hAnsi="Times New Roman" w:cs="Times New Roman"/>
          <w:b/>
          <w:sz w:val="24"/>
          <w:szCs w:val="24"/>
        </w:rPr>
      </w:pPr>
      <w:r w:rsidRPr="00A13A01">
        <w:rPr>
          <w:rFonts w:ascii="Times New Roman" w:hAnsi="Times New Roman" w:cs="Times New Roman"/>
          <w:b/>
          <w:sz w:val="24"/>
          <w:szCs w:val="24"/>
        </w:rPr>
        <w:t>Affiliation</w:t>
      </w:r>
      <w:r w:rsidR="00BF482D" w:rsidRPr="00A13A01">
        <w:rPr>
          <w:rFonts w:ascii="Times New Roman" w:hAnsi="Times New Roman" w:cs="Times New Roman"/>
          <w:b/>
          <w:sz w:val="24"/>
          <w:szCs w:val="24"/>
        </w:rPr>
        <w:t xml:space="preserve"> with donor</w:t>
      </w:r>
    </w:p>
    <w:p w:rsidR="005033E1" w:rsidRPr="00A13A01" w:rsidRDefault="005033E1" w:rsidP="005033E1">
      <w:pPr>
        <w:spacing w:line="480" w:lineRule="auto"/>
        <w:ind w:firstLine="720"/>
        <w:rPr>
          <w:rFonts w:ascii="Times New Roman" w:hAnsi="Times New Roman" w:cs="Times New Roman"/>
          <w:sz w:val="24"/>
          <w:szCs w:val="24"/>
        </w:rPr>
      </w:pPr>
      <w:r w:rsidRPr="00A13A01">
        <w:rPr>
          <w:rFonts w:ascii="Times New Roman" w:hAnsi="Times New Roman" w:cs="Times New Roman"/>
          <w:sz w:val="24"/>
          <w:szCs w:val="24"/>
        </w:rPr>
        <w:t>Once a prospecting contributor is gained as a giver in the association a relationship should be on the cutting edge to keep up the possibility. Although the relationship working with providers is the fundamental occupant of giver support, an advocate relationship starts from without a dou</w:t>
      </w:r>
      <w:r w:rsidR="00C02E25" w:rsidRPr="00A13A01">
        <w:rPr>
          <w:rFonts w:ascii="Times New Roman" w:hAnsi="Times New Roman" w:cs="Times New Roman"/>
          <w:sz w:val="24"/>
          <w:szCs w:val="24"/>
        </w:rPr>
        <w:t>bt the primary association</w:t>
      </w:r>
      <w:r w:rsidR="001570E5" w:rsidRPr="00A13A01">
        <w:rPr>
          <w:rFonts w:ascii="Times New Roman" w:hAnsi="Times New Roman" w:cs="Times New Roman"/>
          <w:sz w:val="24"/>
          <w:szCs w:val="24"/>
        </w:rPr>
        <w:t xml:space="preserve"> (klein, 1985, pp. 1–3)</w:t>
      </w:r>
      <w:r w:rsidR="00C02E25" w:rsidRPr="00A13A01">
        <w:rPr>
          <w:rFonts w:ascii="Times New Roman" w:hAnsi="Times New Roman" w:cs="Times New Roman"/>
          <w:sz w:val="24"/>
          <w:szCs w:val="24"/>
        </w:rPr>
        <w:t>. The organization</w:t>
      </w:r>
      <w:r w:rsidRPr="00A13A01">
        <w:rPr>
          <w:rFonts w:ascii="Times New Roman" w:hAnsi="Times New Roman" w:cs="Times New Roman"/>
          <w:sz w:val="24"/>
          <w:szCs w:val="24"/>
        </w:rPr>
        <w:t xml:space="preserve"> exact advancement of approaching givers should plan to move people/association from a simple experience of gift to them being acquainted with the day-day plans of the business by being acceptable stewardship; cards to say thanks and sending email handouts. Concerning giver making sure about, building relationship with sponsors really comes down to compassion and their knowledge of the objectives and vision of the association. Moving toward a supplier driven </w:t>
      </w:r>
      <w:r w:rsidRPr="00A13A01">
        <w:rPr>
          <w:rFonts w:ascii="Times New Roman" w:hAnsi="Times New Roman" w:cs="Times New Roman"/>
          <w:sz w:val="24"/>
          <w:szCs w:val="24"/>
        </w:rPr>
        <w:lastRenderedPageBreak/>
        <w:t>affiliat</w:t>
      </w:r>
      <w:r w:rsidR="00C02E25" w:rsidRPr="00A13A01">
        <w:rPr>
          <w:rFonts w:ascii="Times New Roman" w:hAnsi="Times New Roman" w:cs="Times New Roman"/>
          <w:sz w:val="24"/>
          <w:szCs w:val="24"/>
        </w:rPr>
        <w:t xml:space="preserve">ion is a basic development of the </w:t>
      </w:r>
      <w:r w:rsidRPr="00A13A01">
        <w:rPr>
          <w:rFonts w:ascii="Times New Roman" w:hAnsi="Times New Roman" w:cs="Times New Roman"/>
          <w:sz w:val="24"/>
          <w:szCs w:val="24"/>
        </w:rPr>
        <w:t>magnanimous necessities to take to help sponsor making sure about and online fund-raising outcomes. There is consistently a trade of components while gaining new and keep up benefactors through affiliation. Thus, the associations need to have an open conversation on the future unselfish goals about what the benefactor is intending to get. Presenting requests expected to get familiar with the partner is of most outrageous criticalness to develop associations and get sponsors. Moreover, energetic givers attract various advocates. Hopeless and unsatisfied providers leave</w:t>
      </w:r>
      <w:r w:rsidR="00D407CD" w:rsidRPr="00A13A01">
        <w:rPr>
          <w:rFonts w:ascii="Times New Roman" w:hAnsi="Times New Roman" w:cs="Times New Roman"/>
          <w:sz w:val="24"/>
          <w:szCs w:val="24"/>
        </w:rPr>
        <w:t xml:space="preserve"> (klein, 1985, pp. 1–3)</w:t>
      </w:r>
      <w:r w:rsidRPr="00A13A01">
        <w:rPr>
          <w:rFonts w:ascii="Times New Roman" w:hAnsi="Times New Roman" w:cs="Times New Roman"/>
          <w:sz w:val="24"/>
          <w:szCs w:val="24"/>
        </w:rPr>
        <w:t>.</w:t>
      </w:r>
    </w:p>
    <w:p w:rsidR="004F4867" w:rsidRPr="00A13A01" w:rsidRDefault="005033E1" w:rsidP="00A13A01">
      <w:pPr>
        <w:pStyle w:val="ListParagraph"/>
        <w:numPr>
          <w:ilvl w:val="0"/>
          <w:numId w:val="2"/>
        </w:numPr>
        <w:spacing w:line="480" w:lineRule="auto"/>
        <w:rPr>
          <w:rFonts w:ascii="Times New Roman" w:hAnsi="Times New Roman" w:cs="Times New Roman"/>
          <w:b/>
          <w:sz w:val="24"/>
          <w:szCs w:val="24"/>
        </w:rPr>
      </w:pPr>
      <w:r w:rsidRPr="00A13A01">
        <w:rPr>
          <w:rFonts w:ascii="Times New Roman" w:hAnsi="Times New Roman" w:cs="Times New Roman"/>
          <w:b/>
          <w:sz w:val="24"/>
          <w:szCs w:val="24"/>
        </w:rPr>
        <w:t>Monitor,</w:t>
      </w:r>
      <w:r w:rsidR="004F4867" w:rsidRPr="00A13A01">
        <w:rPr>
          <w:rFonts w:ascii="Times New Roman" w:hAnsi="Times New Roman" w:cs="Times New Roman"/>
          <w:b/>
          <w:sz w:val="24"/>
          <w:szCs w:val="24"/>
        </w:rPr>
        <w:t xml:space="preserve"> Evaluate </w:t>
      </w:r>
      <w:r w:rsidRPr="00A13A01">
        <w:rPr>
          <w:rFonts w:ascii="Times New Roman" w:hAnsi="Times New Roman" w:cs="Times New Roman"/>
          <w:b/>
          <w:sz w:val="24"/>
          <w:szCs w:val="24"/>
        </w:rPr>
        <w:t xml:space="preserve">and set the </w:t>
      </w:r>
      <w:r w:rsidR="00CE08DA" w:rsidRPr="00A13A01">
        <w:rPr>
          <w:rFonts w:ascii="Times New Roman" w:hAnsi="Times New Roman" w:cs="Times New Roman"/>
          <w:b/>
          <w:sz w:val="24"/>
          <w:szCs w:val="24"/>
        </w:rPr>
        <w:t>succeeding</w:t>
      </w:r>
      <w:r w:rsidRPr="00A13A01">
        <w:rPr>
          <w:rFonts w:ascii="Times New Roman" w:hAnsi="Times New Roman" w:cs="Times New Roman"/>
          <w:b/>
          <w:sz w:val="24"/>
          <w:szCs w:val="24"/>
        </w:rPr>
        <w:t xml:space="preserve"> </w:t>
      </w:r>
      <w:r w:rsidR="00CE08DA" w:rsidRPr="00A13A01">
        <w:rPr>
          <w:rFonts w:ascii="Times New Roman" w:hAnsi="Times New Roman" w:cs="Times New Roman"/>
          <w:b/>
          <w:sz w:val="24"/>
          <w:szCs w:val="24"/>
        </w:rPr>
        <w:t>aim</w:t>
      </w:r>
      <w:r w:rsidRPr="00A13A01">
        <w:rPr>
          <w:rFonts w:ascii="Times New Roman" w:hAnsi="Times New Roman" w:cs="Times New Roman"/>
          <w:b/>
          <w:sz w:val="24"/>
          <w:szCs w:val="24"/>
        </w:rPr>
        <w:t>.</w:t>
      </w:r>
    </w:p>
    <w:p w:rsidR="004307C5" w:rsidRPr="00A13A01" w:rsidRDefault="005033E1" w:rsidP="005033E1">
      <w:pPr>
        <w:spacing w:line="480" w:lineRule="auto"/>
        <w:ind w:firstLine="720"/>
        <w:rPr>
          <w:rFonts w:ascii="Times New Roman" w:hAnsi="Times New Roman" w:cs="Times New Roman"/>
          <w:sz w:val="24"/>
          <w:szCs w:val="24"/>
        </w:rPr>
      </w:pPr>
      <w:r w:rsidRPr="00A13A01">
        <w:rPr>
          <w:rFonts w:ascii="Times New Roman" w:hAnsi="Times New Roman" w:cs="Times New Roman"/>
          <w:sz w:val="24"/>
          <w:szCs w:val="24"/>
        </w:rPr>
        <w:t>T</w:t>
      </w:r>
      <w:r w:rsidR="004307C5" w:rsidRPr="00A13A01">
        <w:rPr>
          <w:rFonts w:ascii="Times New Roman" w:hAnsi="Times New Roman" w:cs="Times New Roman"/>
          <w:sz w:val="24"/>
          <w:szCs w:val="24"/>
        </w:rPr>
        <w:t xml:space="preserve">argets set a </w:t>
      </w:r>
      <w:r w:rsidR="00CE08DA" w:rsidRPr="00A13A01">
        <w:rPr>
          <w:rFonts w:ascii="Times New Roman" w:hAnsi="Times New Roman" w:cs="Times New Roman"/>
          <w:sz w:val="24"/>
          <w:szCs w:val="24"/>
        </w:rPr>
        <w:t>target</w:t>
      </w:r>
      <w:r w:rsidR="004307C5" w:rsidRPr="00A13A01">
        <w:rPr>
          <w:rFonts w:ascii="Times New Roman" w:hAnsi="Times New Roman" w:cs="Times New Roman"/>
          <w:sz w:val="24"/>
          <w:szCs w:val="24"/>
        </w:rPr>
        <w:t xml:space="preserve"> for the NGO </w:t>
      </w:r>
      <w:r w:rsidRPr="00A13A01">
        <w:rPr>
          <w:rFonts w:ascii="Times New Roman" w:hAnsi="Times New Roman" w:cs="Times New Roman"/>
          <w:sz w:val="24"/>
          <w:szCs w:val="24"/>
        </w:rPr>
        <w:t>magnanimous</w:t>
      </w:r>
      <w:r w:rsidR="001570E5" w:rsidRPr="00A13A01">
        <w:rPr>
          <w:rFonts w:ascii="Times New Roman" w:hAnsi="Times New Roman" w:cs="Times New Roman"/>
          <w:sz w:val="24"/>
          <w:szCs w:val="24"/>
        </w:rPr>
        <w:t xml:space="preserve"> (Mebrahtu, 2002, p. 504)</w:t>
      </w:r>
      <w:r w:rsidRPr="00A13A01">
        <w:rPr>
          <w:rFonts w:ascii="Times New Roman" w:hAnsi="Times New Roman" w:cs="Times New Roman"/>
          <w:sz w:val="24"/>
          <w:szCs w:val="24"/>
        </w:rPr>
        <w:t>. In the wake of characterizing goals and completing appropriate methods for target achievement, it's incredibly basic to check and su</w:t>
      </w:r>
      <w:r w:rsidR="004307C5" w:rsidRPr="00A13A01">
        <w:rPr>
          <w:rFonts w:ascii="Times New Roman" w:hAnsi="Times New Roman" w:cs="Times New Roman"/>
          <w:sz w:val="24"/>
          <w:szCs w:val="24"/>
        </w:rPr>
        <w:t xml:space="preserve">rvey the accomplishment of the organization </w:t>
      </w:r>
      <w:r w:rsidRPr="00A13A01">
        <w:rPr>
          <w:rFonts w:ascii="Times New Roman" w:hAnsi="Times New Roman" w:cs="Times New Roman"/>
          <w:sz w:val="24"/>
          <w:szCs w:val="24"/>
        </w:rPr>
        <w:t>tech</w:t>
      </w:r>
      <w:r w:rsidR="00C02E25" w:rsidRPr="00A13A01">
        <w:rPr>
          <w:rFonts w:ascii="Times New Roman" w:hAnsi="Times New Roman" w:cs="Times New Roman"/>
          <w:sz w:val="24"/>
          <w:szCs w:val="24"/>
        </w:rPr>
        <w:t>niques and activities. As they set up the</w:t>
      </w:r>
      <w:r w:rsidRPr="00A13A01">
        <w:rPr>
          <w:rFonts w:ascii="Times New Roman" w:hAnsi="Times New Roman" w:cs="Times New Roman"/>
          <w:sz w:val="24"/>
          <w:szCs w:val="24"/>
        </w:rPr>
        <w:t xml:space="preserve"> strategies as an ordinary event, make estimations related to </w:t>
      </w:r>
      <w:r w:rsidR="00CE08DA" w:rsidRPr="00A13A01">
        <w:rPr>
          <w:rFonts w:ascii="Times New Roman" w:hAnsi="Times New Roman" w:cs="Times New Roman"/>
          <w:sz w:val="24"/>
          <w:szCs w:val="24"/>
        </w:rPr>
        <w:t>the</w:t>
      </w:r>
      <w:r w:rsidRPr="00A13A01">
        <w:rPr>
          <w:rFonts w:ascii="Times New Roman" w:hAnsi="Times New Roman" w:cs="Times New Roman"/>
          <w:sz w:val="24"/>
          <w:szCs w:val="24"/>
        </w:rPr>
        <w:t xml:space="preserve"> goals. These estimations should be key pointers of target achievement and can be either quantitative, abstract, or both. They are how you will know whether you accomplished </w:t>
      </w:r>
      <w:r w:rsidR="00CE08DA" w:rsidRPr="00A13A01">
        <w:rPr>
          <w:rFonts w:ascii="Times New Roman" w:hAnsi="Times New Roman" w:cs="Times New Roman"/>
          <w:sz w:val="24"/>
          <w:szCs w:val="24"/>
        </w:rPr>
        <w:t xml:space="preserve">the </w:t>
      </w:r>
      <w:r w:rsidRPr="00A13A01">
        <w:rPr>
          <w:rFonts w:ascii="Times New Roman" w:hAnsi="Times New Roman" w:cs="Times New Roman"/>
          <w:sz w:val="24"/>
          <w:szCs w:val="24"/>
        </w:rPr>
        <w:t xml:space="preserve">destinations. Considering the course of occasions, you made when you made </w:t>
      </w:r>
      <w:r w:rsidR="00CE08DA" w:rsidRPr="00A13A01">
        <w:rPr>
          <w:rFonts w:ascii="Times New Roman" w:hAnsi="Times New Roman" w:cs="Times New Roman"/>
          <w:sz w:val="24"/>
          <w:szCs w:val="24"/>
        </w:rPr>
        <w:t>the</w:t>
      </w:r>
      <w:r w:rsidRPr="00A13A01">
        <w:rPr>
          <w:rFonts w:ascii="Times New Roman" w:hAnsi="Times New Roman" w:cs="Times New Roman"/>
          <w:sz w:val="24"/>
          <w:szCs w:val="24"/>
        </w:rPr>
        <w:t xml:space="preserve"> destinations, dependably measure and evaluate </w:t>
      </w:r>
      <w:r w:rsidR="00CE08DA" w:rsidRPr="00A13A01">
        <w:rPr>
          <w:rFonts w:ascii="Times New Roman" w:hAnsi="Times New Roman" w:cs="Times New Roman"/>
          <w:sz w:val="24"/>
          <w:szCs w:val="24"/>
        </w:rPr>
        <w:t>they</w:t>
      </w:r>
      <w:r w:rsidRPr="00A13A01">
        <w:rPr>
          <w:rFonts w:ascii="Times New Roman" w:hAnsi="Times New Roman" w:cs="Times New Roman"/>
          <w:sz w:val="24"/>
          <w:szCs w:val="24"/>
        </w:rPr>
        <w:t xml:space="preserve"> headway. Doing this uncovers to you whether </w:t>
      </w:r>
      <w:r w:rsidR="00CE08DA" w:rsidRPr="00A13A01">
        <w:rPr>
          <w:rFonts w:ascii="Times New Roman" w:hAnsi="Times New Roman" w:cs="Times New Roman"/>
          <w:sz w:val="24"/>
          <w:szCs w:val="24"/>
        </w:rPr>
        <w:t>they</w:t>
      </w:r>
      <w:r w:rsidRPr="00A13A01">
        <w:rPr>
          <w:rFonts w:ascii="Times New Roman" w:hAnsi="Times New Roman" w:cs="Times New Roman"/>
          <w:sz w:val="24"/>
          <w:szCs w:val="24"/>
        </w:rPr>
        <w:t xml:space="preserve"> techniques are the right ones for the targets you're </w:t>
      </w:r>
      <w:r w:rsidR="004307C5" w:rsidRPr="00A13A01">
        <w:rPr>
          <w:rFonts w:ascii="Times New Roman" w:hAnsi="Times New Roman" w:cs="Times New Roman"/>
          <w:sz w:val="24"/>
          <w:szCs w:val="24"/>
        </w:rPr>
        <w:t>endeavoring</w:t>
      </w:r>
      <w:r w:rsidRPr="00A13A01">
        <w:rPr>
          <w:rFonts w:ascii="Times New Roman" w:hAnsi="Times New Roman" w:cs="Times New Roman"/>
          <w:sz w:val="24"/>
          <w:szCs w:val="24"/>
        </w:rPr>
        <w:t xml:space="preserve"> to achieve</w:t>
      </w:r>
      <w:r w:rsidR="001570E5" w:rsidRPr="00A13A01">
        <w:rPr>
          <w:rFonts w:ascii="Times New Roman" w:hAnsi="Times New Roman" w:cs="Times New Roman"/>
          <w:sz w:val="24"/>
          <w:szCs w:val="24"/>
        </w:rPr>
        <w:t xml:space="preserve"> (Kabonga, 2020, p. 1; Mebrahtu, 2002, p. 504)</w:t>
      </w:r>
      <w:r w:rsidRPr="00A13A01">
        <w:rPr>
          <w:rFonts w:ascii="Times New Roman" w:hAnsi="Times New Roman" w:cs="Times New Roman"/>
          <w:sz w:val="24"/>
          <w:szCs w:val="24"/>
        </w:rPr>
        <w:t>.</w:t>
      </w:r>
    </w:p>
    <w:p w:rsidR="005033E1" w:rsidRPr="00A13A01" w:rsidRDefault="005033E1" w:rsidP="005033E1">
      <w:pPr>
        <w:spacing w:line="480" w:lineRule="auto"/>
        <w:ind w:firstLine="720"/>
        <w:rPr>
          <w:rFonts w:ascii="Times New Roman" w:hAnsi="Times New Roman" w:cs="Times New Roman"/>
          <w:sz w:val="24"/>
          <w:szCs w:val="24"/>
        </w:rPr>
      </w:pPr>
      <w:r w:rsidRPr="00A13A01">
        <w:rPr>
          <w:rFonts w:ascii="Times New Roman" w:hAnsi="Times New Roman" w:cs="Times New Roman"/>
          <w:sz w:val="24"/>
          <w:szCs w:val="24"/>
        </w:rPr>
        <w:t xml:space="preserve"> Subseque</w:t>
      </w:r>
      <w:r w:rsidR="00CE08DA" w:rsidRPr="00A13A01">
        <w:rPr>
          <w:rFonts w:ascii="Times New Roman" w:hAnsi="Times New Roman" w:cs="Times New Roman"/>
          <w:sz w:val="24"/>
          <w:szCs w:val="24"/>
        </w:rPr>
        <w:t>nt to assessing and standard</w:t>
      </w:r>
      <w:r w:rsidRPr="00A13A01">
        <w:rPr>
          <w:rFonts w:ascii="Times New Roman" w:hAnsi="Times New Roman" w:cs="Times New Roman"/>
          <w:sz w:val="24"/>
          <w:szCs w:val="24"/>
        </w:rPr>
        <w:t xml:space="preserve"> </w:t>
      </w:r>
      <w:r w:rsidR="00CE08DA" w:rsidRPr="00A13A01">
        <w:rPr>
          <w:rFonts w:ascii="Times New Roman" w:hAnsi="Times New Roman" w:cs="Times New Roman"/>
          <w:sz w:val="24"/>
          <w:szCs w:val="24"/>
        </w:rPr>
        <w:t xml:space="preserve">the </w:t>
      </w:r>
      <w:r w:rsidRPr="00A13A01">
        <w:rPr>
          <w:rFonts w:ascii="Times New Roman" w:hAnsi="Times New Roman" w:cs="Times New Roman"/>
          <w:sz w:val="24"/>
          <w:szCs w:val="24"/>
        </w:rPr>
        <w:t xml:space="preserve">promoter acquiring frameworks against </w:t>
      </w:r>
      <w:r w:rsidR="00CE08DA" w:rsidRPr="00A13A01">
        <w:rPr>
          <w:rFonts w:ascii="Times New Roman" w:hAnsi="Times New Roman" w:cs="Times New Roman"/>
          <w:sz w:val="24"/>
          <w:szCs w:val="24"/>
        </w:rPr>
        <w:t xml:space="preserve">the </w:t>
      </w:r>
      <w:r w:rsidRPr="00A13A01">
        <w:rPr>
          <w:rFonts w:ascii="Times New Roman" w:hAnsi="Times New Roman" w:cs="Times New Roman"/>
          <w:sz w:val="24"/>
          <w:szCs w:val="24"/>
        </w:rPr>
        <w:t xml:space="preserve">goals, it is basic to perpetually improve. Realizing changes subject to the delayed consequences of </w:t>
      </w:r>
      <w:r w:rsidR="00CE08DA" w:rsidRPr="00A13A01">
        <w:rPr>
          <w:rFonts w:ascii="Times New Roman" w:hAnsi="Times New Roman" w:cs="Times New Roman"/>
          <w:sz w:val="24"/>
          <w:szCs w:val="24"/>
        </w:rPr>
        <w:t>the</w:t>
      </w:r>
      <w:r w:rsidRPr="00A13A01">
        <w:rPr>
          <w:rFonts w:ascii="Times New Roman" w:hAnsi="Times New Roman" w:cs="Times New Roman"/>
          <w:sz w:val="24"/>
          <w:szCs w:val="24"/>
        </w:rPr>
        <w:t xml:space="preserve"> appraisal is one of the most essential practices you need to execute in </w:t>
      </w:r>
      <w:r w:rsidR="00CE08DA" w:rsidRPr="00A13A01">
        <w:rPr>
          <w:rFonts w:ascii="Times New Roman" w:hAnsi="Times New Roman" w:cs="Times New Roman"/>
          <w:sz w:val="24"/>
          <w:szCs w:val="24"/>
        </w:rPr>
        <w:t>the</w:t>
      </w:r>
      <w:r w:rsidRPr="00A13A01">
        <w:rPr>
          <w:rFonts w:ascii="Times New Roman" w:hAnsi="Times New Roman" w:cs="Times New Roman"/>
          <w:sz w:val="24"/>
          <w:szCs w:val="24"/>
        </w:rPr>
        <w:t xml:space="preserve"> charitable on the off chance that you need to pick up suppliers and show up at </w:t>
      </w:r>
      <w:r w:rsidR="00CE08DA" w:rsidRPr="00A13A01">
        <w:rPr>
          <w:rFonts w:ascii="Times New Roman" w:hAnsi="Times New Roman" w:cs="Times New Roman"/>
          <w:sz w:val="24"/>
          <w:szCs w:val="24"/>
        </w:rPr>
        <w:t xml:space="preserve">the </w:t>
      </w:r>
      <w:r w:rsidRPr="00A13A01">
        <w:rPr>
          <w:rFonts w:ascii="Times New Roman" w:hAnsi="Times New Roman" w:cs="Times New Roman"/>
          <w:sz w:val="24"/>
          <w:szCs w:val="24"/>
        </w:rPr>
        <w:t xml:space="preserve">social affair vows goals. Appraisal often happens after the course of occasions of activities is finished, be that as it may, it </w:t>
      </w:r>
      <w:r w:rsidRPr="00A13A01">
        <w:rPr>
          <w:rFonts w:ascii="Times New Roman" w:hAnsi="Times New Roman" w:cs="Times New Roman"/>
          <w:sz w:val="24"/>
          <w:szCs w:val="24"/>
        </w:rPr>
        <w:lastRenderedPageBreak/>
        <w:t xml:space="preserve">will, in general, be valuable to evaluate and survey what worked and what didn't work constantly. Use whatever information you collect to make changes to </w:t>
      </w:r>
      <w:r w:rsidR="00CE08DA" w:rsidRPr="00A13A01">
        <w:rPr>
          <w:rFonts w:ascii="Times New Roman" w:hAnsi="Times New Roman" w:cs="Times New Roman"/>
          <w:sz w:val="24"/>
          <w:szCs w:val="24"/>
        </w:rPr>
        <w:t xml:space="preserve">the </w:t>
      </w:r>
      <w:r w:rsidRPr="00A13A01">
        <w:rPr>
          <w:rFonts w:ascii="Times New Roman" w:hAnsi="Times New Roman" w:cs="Times New Roman"/>
          <w:sz w:val="24"/>
          <w:szCs w:val="24"/>
        </w:rPr>
        <w:t>goals, course of occasions, and systems. By reliably improving with appropriate analysis, you'll keep conscious to date with fund-raising examples, gain providers, and develop trust and credibility</w:t>
      </w:r>
      <w:r w:rsidR="001570E5" w:rsidRPr="00A13A01">
        <w:rPr>
          <w:rFonts w:ascii="Times New Roman" w:hAnsi="Times New Roman" w:cs="Times New Roman"/>
          <w:sz w:val="24"/>
          <w:szCs w:val="24"/>
        </w:rPr>
        <w:t xml:space="preserve"> (Mebrahtu, 2002, p. 504)</w:t>
      </w:r>
      <w:r w:rsidRPr="00A13A01">
        <w:rPr>
          <w:rFonts w:ascii="Times New Roman" w:hAnsi="Times New Roman" w:cs="Times New Roman"/>
          <w:sz w:val="24"/>
          <w:szCs w:val="24"/>
        </w:rPr>
        <w:t>.</w:t>
      </w:r>
    </w:p>
    <w:p w:rsidR="004307C5" w:rsidRPr="00A13A01" w:rsidRDefault="004307C5" w:rsidP="00A13A01">
      <w:pPr>
        <w:pStyle w:val="ListParagraph"/>
        <w:numPr>
          <w:ilvl w:val="0"/>
          <w:numId w:val="2"/>
        </w:numPr>
        <w:spacing w:line="480" w:lineRule="auto"/>
        <w:rPr>
          <w:rFonts w:ascii="Times New Roman" w:hAnsi="Times New Roman" w:cs="Times New Roman"/>
          <w:b/>
          <w:sz w:val="24"/>
          <w:szCs w:val="24"/>
        </w:rPr>
      </w:pPr>
      <w:r w:rsidRPr="00A13A01">
        <w:rPr>
          <w:rFonts w:ascii="Times New Roman" w:hAnsi="Times New Roman" w:cs="Times New Roman"/>
          <w:b/>
          <w:sz w:val="24"/>
          <w:szCs w:val="24"/>
        </w:rPr>
        <w:t>Use Social Media</w:t>
      </w:r>
    </w:p>
    <w:p w:rsidR="00BF482D" w:rsidRPr="00A13A01" w:rsidRDefault="00CE08DA" w:rsidP="00CE08DA">
      <w:pPr>
        <w:spacing w:line="480" w:lineRule="auto"/>
        <w:ind w:firstLine="720"/>
        <w:rPr>
          <w:rFonts w:ascii="Times New Roman" w:hAnsi="Times New Roman" w:cs="Times New Roman"/>
          <w:sz w:val="24"/>
          <w:szCs w:val="24"/>
        </w:rPr>
      </w:pPr>
      <w:r w:rsidRPr="00A13A01">
        <w:rPr>
          <w:rFonts w:ascii="Times New Roman" w:hAnsi="Times New Roman" w:cs="Times New Roman"/>
          <w:sz w:val="24"/>
          <w:szCs w:val="24"/>
        </w:rPr>
        <w:t xml:space="preserve">In this day and age, there is the extraordinary utilization of web-based media to raise reserve for beneficent movement. A portion of those online media permits the not-for-profit to associate with their allies, develop their image, increment introduction, and get contributors to pursue they email list; which is one of the conventional raising support actions. Like never before, </w:t>
      </w:r>
      <w:r w:rsidR="001570E5" w:rsidRPr="00A13A01">
        <w:rPr>
          <w:rFonts w:ascii="Times New Roman" w:hAnsi="Times New Roman" w:cs="Times New Roman"/>
          <w:sz w:val="24"/>
          <w:szCs w:val="24"/>
        </w:rPr>
        <w:t>the general congregation using social media</w:t>
      </w:r>
      <w:r w:rsidRPr="00A13A01">
        <w:rPr>
          <w:rFonts w:ascii="Times New Roman" w:hAnsi="Times New Roman" w:cs="Times New Roman"/>
          <w:sz w:val="24"/>
          <w:szCs w:val="24"/>
        </w:rPr>
        <w:t xml:space="preserve"> search out data about which philanthropies to give to via online media. In spite of the fact that these don't make the greatest gifts, their effect and benefactor esteem is expanding each day. Nonetheless, an association chooses to utilize web-based media to raise asset and assemble a brand it is significant for the association to keep up and use the customary medium to raise reserve; email posting, joining in/making occasions which will empower them to pitch their objective, Direct call to an association and dropping their gathering pledges proposition to creating associations through donations</w:t>
      </w:r>
      <w:r w:rsidR="001570E5" w:rsidRPr="00A13A01">
        <w:rPr>
          <w:rFonts w:ascii="Times New Roman" w:hAnsi="Times New Roman" w:cs="Times New Roman"/>
          <w:sz w:val="24"/>
          <w:szCs w:val="24"/>
        </w:rPr>
        <w:t xml:space="preserve"> (Chung, 2018; Hoang et al., 2019, p. 334).</w:t>
      </w:r>
    </w:p>
    <w:p w:rsidR="00A13A01" w:rsidRDefault="00CE08DA" w:rsidP="00A13A01">
      <w:pPr>
        <w:spacing w:line="480" w:lineRule="auto"/>
        <w:ind w:firstLine="720"/>
        <w:rPr>
          <w:rFonts w:ascii="Times New Roman" w:hAnsi="Times New Roman" w:cs="Times New Roman"/>
          <w:sz w:val="24"/>
          <w:szCs w:val="24"/>
        </w:rPr>
      </w:pPr>
      <w:r w:rsidRPr="00A13A01">
        <w:rPr>
          <w:rFonts w:ascii="Times New Roman" w:hAnsi="Times New Roman" w:cs="Times New Roman"/>
          <w:sz w:val="24"/>
          <w:szCs w:val="24"/>
        </w:rPr>
        <w:t>New NGOs need to comprehend that dread of possibilities denying subsidizing is additionally essential for the cycle. It is tantamount to getting a yes. They ought to get settled to request cash, regardless of whether it is through the new and conventional medium. There is consistently the chance of getting reserves if the objective adjusts to the contributors' viewpoint.</w:t>
      </w:r>
      <w:r w:rsidR="00A13A01">
        <w:rPr>
          <w:rFonts w:ascii="Times New Roman" w:hAnsi="Times New Roman" w:cs="Times New Roman"/>
          <w:sz w:val="24"/>
          <w:szCs w:val="24"/>
        </w:rPr>
        <w:br w:type="page"/>
      </w:r>
    </w:p>
    <w:p w:rsidR="00F218AC" w:rsidRDefault="00A13A01" w:rsidP="00A13A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13A01" w:rsidRDefault="00A13A01" w:rsidP="00A13A01">
      <w:pPr>
        <w:pStyle w:val="NormalWeb"/>
        <w:spacing w:line="480" w:lineRule="auto"/>
        <w:ind w:left="720" w:hanging="720"/>
      </w:pPr>
      <w:r>
        <w:t xml:space="preserve">Addition of Funding Source. (2019). </w:t>
      </w:r>
      <w:r>
        <w:rPr>
          <w:i/>
          <w:iCs/>
        </w:rPr>
        <w:t>JAMA</w:t>
      </w:r>
      <w:r>
        <w:t xml:space="preserve">, </w:t>
      </w:r>
      <w:r>
        <w:rPr>
          <w:i/>
          <w:iCs/>
        </w:rPr>
        <w:t>322</w:t>
      </w:r>
      <w:r>
        <w:t>(3), 276. https://doi.org/10.1001/jama.2019.8749</w:t>
      </w:r>
    </w:p>
    <w:p w:rsidR="00A13A01" w:rsidRDefault="00A13A01" w:rsidP="00A13A01">
      <w:pPr>
        <w:pStyle w:val="NormalWeb"/>
        <w:spacing w:line="480" w:lineRule="auto"/>
        <w:ind w:left="720" w:hanging="720"/>
      </w:pPr>
      <w:r>
        <w:t xml:space="preserve">Chung, E. (2018, September 21). </w:t>
      </w:r>
      <w:r>
        <w:rPr>
          <w:i/>
          <w:iCs/>
        </w:rPr>
        <w:t>3 Social Media Strategies to Improve Donor Stewardship</w:t>
      </w:r>
      <w:r>
        <w:t>. Classy. https://www.classy.org/blog/improve-donor-stewardship-social-media/</w:t>
      </w:r>
    </w:p>
    <w:p w:rsidR="00A13A01" w:rsidRDefault="00A13A01" w:rsidP="00A13A01">
      <w:pPr>
        <w:pStyle w:val="NormalWeb"/>
        <w:spacing w:line="480" w:lineRule="auto"/>
        <w:ind w:left="720" w:hanging="720"/>
      </w:pPr>
      <w:r>
        <w:t xml:space="preserve">Foster, W. L., Kim, P., &amp; Christiansen, B. (2009). </w:t>
      </w:r>
      <w:r>
        <w:rPr>
          <w:i/>
          <w:iCs/>
        </w:rPr>
        <w:t>Ten Nonprofit Funding Models (SSIR)</w:t>
      </w:r>
      <w:r>
        <w:t>. Stanford University. https://ssir.org/articles/entry/ten_nonprofit_funding_models</w:t>
      </w:r>
    </w:p>
    <w:p w:rsidR="00A13A01" w:rsidRDefault="00A13A01" w:rsidP="00A13A01">
      <w:pPr>
        <w:pStyle w:val="NormalWeb"/>
        <w:spacing w:line="480" w:lineRule="auto"/>
        <w:ind w:left="720" w:hanging="720"/>
      </w:pPr>
      <w:r>
        <w:t xml:space="preserve">Hoang, H. T., Wang, F., Ngo, Q. V., &amp; Chen, M. (2019). Brand equity in social media-based brand community. </w:t>
      </w:r>
      <w:r>
        <w:rPr>
          <w:i/>
          <w:iCs/>
        </w:rPr>
        <w:t>Marketing Intelligence &amp; Planning</w:t>
      </w:r>
      <w:r>
        <w:t xml:space="preserve">, </w:t>
      </w:r>
      <w:r>
        <w:rPr>
          <w:i/>
          <w:iCs/>
        </w:rPr>
        <w:t>38</w:t>
      </w:r>
      <w:r>
        <w:t>(3), 325–339. https://doi.org/10.1108/mip-01-2019-0051</w:t>
      </w:r>
    </w:p>
    <w:p w:rsidR="00A13A01" w:rsidRDefault="00A13A01" w:rsidP="00A13A01">
      <w:pPr>
        <w:pStyle w:val="NormalWeb"/>
        <w:spacing w:line="480" w:lineRule="auto"/>
        <w:ind w:left="720" w:hanging="720"/>
      </w:pPr>
      <w:r>
        <w:t xml:space="preserve">Ibrisevic, I. (2020, December 2). </w:t>
      </w:r>
      <w:r>
        <w:rPr>
          <w:i/>
          <w:iCs/>
        </w:rPr>
        <w:t>Top Funding Sources for Nonprofits and Charities (2020)</w:t>
      </w:r>
      <w:r>
        <w:t>. Nonprofit Blog. https://donorbox.org/nonprofit-blog/nonprofit-funding-sources/</w:t>
      </w:r>
    </w:p>
    <w:p w:rsidR="00A13A01" w:rsidRDefault="00A13A01" w:rsidP="00A13A01">
      <w:pPr>
        <w:pStyle w:val="NormalWeb"/>
        <w:spacing w:line="480" w:lineRule="auto"/>
        <w:ind w:left="720" w:hanging="720"/>
      </w:pPr>
      <w:r>
        <w:t xml:space="preserve">Kabonga, I. (2020). The contribution of volunteerism to monitoring and evaluation of NGO projects in Chegutu district, Zimbabwe. </w:t>
      </w:r>
      <w:r>
        <w:rPr>
          <w:i/>
          <w:iCs/>
        </w:rPr>
        <w:t>Cogent Social Sciences</w:t>
      </w:r>
      <w:r>
        <w:t xml:space="preserve">, </w:t>
      </w:r>
      <w:r>
        <w:rPr>
          <w:i/>
          <w:iCs/>
        </w:rPr>
        <w:t>6</w:t>
      </w:r>
      <w:r>
        <w:t>(1), 1. https://doi.org/10.1080/23311886.2020.1752590</w:t>
      </w:r>
    </w:p>
    <w:p w:rsidR="00A13A01" w:rsidRDefault="00A13A01" w:rsidP="00A13A01">
      <w:pPr>
        <w:pStyle w:val="NormalWeb"/>
        <w:spacing w:line="480" w:lineRule="auto"/>
        <w:ind w:left="720" w:hanging="720"/>
      </w:pPr>
      <w:r>
        <w:t xml:space="preserve">klein, K. I. (1985). </w:t>
      </w:r>
      <w:r>
        <w:rPr>
          <w:i/>
          <w:iCs/>
        </w:rPr>
        <w:t>Fund Raising Social change</w:t>
      </w:r>
      <w:r>
        <w:t>. Jossey-Bass, a Wiley Imprint, 2007.</w:t>
      </w:r>
    </w:p>
    <w:p w:rsidR="00A13A01" w:rsidRDefault="00A13A01" w:rsidP="00A13A01">
      <w:pPr>
        <w:pStyle w:val="NormalWeb"/>
        <w:spacing w:line="480" w:lineRule="auto"/>
        <w:ind w:left="720" w:hanging="720"/>
      </w:pPr>
      <w:r>
        <w:t xml:space="preserve">Mebrahtu, E. (2002). Perceptions and practices of monitoring and evaluation: International NGO experiences in Ethiopia. </w:t>
      </w:r>
      <w:r>
        <w:rPr>
          <w:i/>
          <w:iCs/>
        </w:rPr>
        <w:t>Development in Practice</w:t>
      </w:r>
      <w:r>
        <w:t xml:space="preserve">, </w:t>
      </w:r>
      <w:r>
        <w:rPr>
          <w:i/>
          <w:iCs/>
        </w:rPr>
        <w:t>12</w:t>
      </w:r>
      <w:r>
        <w:t>(3–4), 501–517. https://doi.org/10.1080/0961450220149645a</w:t>
      </w:r>
    </w:p>
    <w:p w:rsidR="00A13A01" w:rsidRPr="00A13A01" w:rsidRDefault="00A13A01" w:rsidP="00A13A01">
      <w:pPr>
        <w:spacing w:line="480" w:lineRule="auto"/>
        <w:ind w:firstLine="720"/>
        <w:rPr>
          <w:rFonts w:ascii="Times New Roman" w:hAnsi="Times New Roman" w:cs="Times New Roman"/>
          <w:sz w:val="24"/>
          <w:szCs w:val="24"/>
        </w:rPr>
      </w:pPr>
    </w:p>
    <w:sectPr w:rsidR="00A13A01" w:rsidRPr="00A13A01" w:rsidSect="00A13A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4B4" w:rsidRDefault="003234B4" w:rsidP="00A13A01">
      <w:pPr>
        <w:spacing w:after="0" w:line="240" w:lineRule="auto"/>
      </w:pPr>
      <w:r>
        <w:separator/>
      </w:r>
    </w:p>
  </w:endnote>
  <w:endnote w:type="continuationSeparator" w:id="0">
    <w:p w:rsidR="003234B4" w:rsidRDefault="003234B4" w:rsidP="00A13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4B4" w:rsidRDefault="003234B4" w:rsidP="00A13A01">
      <w:pPr>
        <w:spacing w:after="0" w:line="240" w:lineRule="auto"/>
      </w:pPr>
      <w:r>
        <w:separator/>
      </w:r>
    </w:p>
  </w:footnote>
  <w:footnote w:type="continuationSeparator" w:id="0">
    <w:p w:rsidR="003234B4" w:rsidRDefault="003234B4" w:rsidP="00A13A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7124625"/>
      <w:docPartObj>
        <w:docPartGallery w:val="Page Numbers (Top of Page)"/>
        <w:docPartUnique/>
      </w:docPartObj>
    </w:sdtPr>
    <w:sdtEndPr>
      <w:rPr>
        <w:rFonts w:ascii="Times New Roman" w:hAnsi="Times New Roman" w:cs="Times New Roman"/>
        <w:noProof/>
        <w:sz w:val="24"/>
        <w:szCs w:val="24"/>
      </w:rPr>
    </w:sdtEndPr>
    <w:sdtContent>
      <w:p w:rsidR="00A13A01" w:rsidRPr="00A13A01" w:rsidRDefault="00A13A01" w:rsidP="00A13A01">
        <w:pPr>
          <w:pStyle w:val="Header"/>
          <w:rPr>
            <w:rFonts w:ascii="Times New Roman" w:hAnsi="Times New Roman" w:cs="Times New Roman"/>
            <w:sz w:val="24"/>
            <w:szCs w:val="24"/>
          </w:rPr>
        </w:pPr>
        <w:r w:rsidRPr="00A13A01">
          <w:rPr>
            <w:rFonts w:ascii="Times New Roman" w:hAnsi="Times New Roman" w:cs="Times New Roman"/>
            <w:sz w:val="24"/>
            <w:szCs w:val="24"/>
          </w:rPr>
          <w:t>FUNDRAISING</w:t>
        </w:r>
        <w:r>
          <w:rPr>
            <w:rFonts w:ascii="Times New Roman" w:hAnsi="Times New Roman" w:cs="Times New Roman"/>
            <w:sz w:val="24"/>
            <w:szCs w:val="24"/>
          </w:rPr>
          <w:tab/>
        </w:r>
        <w:r>
          <w:rPr>
            <w:rFonts w:ascii="Times New Roman" w:hAnsi="Times New Roman" w:cs="Times New Roman"/>
            <w:sz w:val="24"/>
            <w:szCs w:val="24"/>
          </w:rPr>
          <w:tab/>
        </w:r>
        <w:r w:rsidRPr="00A13A01">
          <w:rPr>
            <w:rFonts w:ascii="Times New Roman" w:hAnsi="Times New Roman" w:cs="Times New Roman"/>
            <w:sz w:val="24"/>
            <w:szCs w:val="24"/>
          </w:rPr>
          <w:t xml:space="preserve"> </w:t>
        </w:r>
        <w:r w:rsidRPr="00A13A01">
          <w:rPr>
            <w:rFonts w:ascii="Times New Roman" w:hAnsi="Times New Roman" w:cs="Times New Roman"/>
            <w:sz w:val="24"/>
            <w:szCs w:val="24"/>
          </w:rPr>
          <w:fldChar w:fldCharType="begin"/>
        </w:r>
        <w:r w:rsidRPr="00A13A01">
          <w:rPr>
            <w:rFonts w:ascii="Times New Roman" w:hAnsi="Times New Roman" w:cs="Times New Roman"/>
            <w:sz w:val="24"/>
            <w:szCs w:val="24"/>
          </w:rPr>
          <w:instrText xml:space="preserve"> PAGE   \* MERGEFORMAT </w:instrText>
        </w:r>
        <w:r w:rsidRPr="00A13A01">
          <w:rPr>
            <w:rFonts w:ascii="Times New Roman" w:hAnsi="Times New Roman" w:cs="Times New Roman"/>
            <w:sz w:val="24"/>
            <w:szCs w:val="24"/>
          </w:rPr>
          <w:fldChar w:fldCharType="separate"/>
        </w:r>
        <w:r w:rsidR="00D25E6B">
          <w:rPr>
            <w:rFonts w:ascii="Times New Roman" w:hAnsi="Times New Roman" w:cs="Times New Roman"/>
            <w:noProof/>
            <w:sz w:val="24"/>
            <w:szCs w:val="24"/>
          </w:rPr>
          <w:t>3</w:t>
        </w:r>
        <w:r w:rsidRPr="00A13A01">
          <w:rPr>
            <w:rFonts w:ascii="Times New Roman" w:hAnsi="Times New Roman" w:cs="Times New Roman"/>
            <w:noProof/>
            <w:sz w:val="24"/>
            <w:szCs w:val="24"/>
          </w:rPr>
          <w:fldChar w:fldCharType="end"/>
        </w:r>
      </w:p>
    </w:sdtContent>
  </w:sdt>
  <w:p w:rsidR="00A13A01" w:rsidRDefault="00A13A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68792012"/>
      <w:docPartObj>
        <w:docPartGallery w:val="Page Numbers (Top of Page)"/>
        <w:docPartUnique/>
      </w:docPartObj>
    </w:sdtPr>
    <w:sdtEndPr>
      <w:rPr>
        <w:noProof/>
      </w:rPr>
    </w:sdtEndPr>
    <w:sdtContent>
      <w:p w:rsidR="00A13A01" w:rsidRPr="00A13A01" w:rsidRDefault="00A13A01">
        <w:pPr>
          <w:pStyle w:val="Header"/>
          <w:jc w:val="right"/>
          <w:rPr>
            <w:rFonts w:ascii="Times New Roman" w:hAnsi="Times New Roman" w:cs="Times New Roman"/>
            <w:sz w:val="24"/>
            <w:szCs w:val="24"/>
          </w:rPr>
        </w:pPr>
        <w:r w:rsidRPr="00A13A01">
          <w:rPr>
            <w:rFonts w:ascii="Times New Roman" w:hAnsi="Times New Roman" w:cs="Times New Roman"/>
            <w:sz w:val="24"/>
            <w:szCs w:val="24"/>
          </w:rPr>
          <w:fldChar w:fldCharType="begin"/>
        </w:r>
        <w:r w:rsidRPr="00A13A01">
          <w:rPr>
            <w:rFonts w:ascii="Times New Roman" w:hAnsi="Times New Roman" w:cs="Times New Roman"/>
            <w:sz w:val="24"/>
            <w:szCs w:val="24"/>
          </w:rPr>
          <w:instrText xml:space="preserve"> PAGE   \* MERGEFORMAT </w:instrText>
        </w:r>
        <w:r w:rsidRPr="00A13A01">
          <w:rPr>
            <w:rFonts w:ascii="Times New Roman" w:hAnsi="Times New Roman" w:cs="Times New Roman"/>
            <w:sz w:val="24"/>
            <w:szCs w:val="24"/>
          </w:rPr>
          <w:fldChar w:fldCharType="separate"/>
        </w:r>
        <w:r w:rsidR="002E63D4">
          <w:rPr>
            <w:rFonts w:ascii="Times New Roman" w:hAnsi="Times New Roman" w:cs="Times New Roman"/>
            <w:noProof/>
            <w:sz w:val="24"/>
            <w:szCs w:val="24"/>
          </w:rPr>
          <w:t>1</w:t>
        </w:r>
        <w:r w:rsidRPr="00A13A01">
          <w:rPr>
            <w:rFonts w:ascii="Times New Roman" w:hAnsi="Times New Roman" w:cs="Times New Roman"/>
            <w:noProof/>
            <w:sz w:val="24"/>
            <w:szCs w:val="24"/>
          </w:rPr>
          <w:fldChar w:fldCharType="end"/>
        </w:r>
      </w:p>
    </w:sdtContent>
  </w:sdt>
  <w:p w:rsidR="00A13A01" w:rsidRDefault="00A13A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90296"/>
    <w:multiLevelType w:val="hybridMultilevel"/>
    <w:tmpl w:val="645EC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05313E"/>
    <w:multiLevelType w:val="hybridMultilevel"/>
    <w:tmpl w:val="AA76F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7DF"/>
    <w:rsid w:val="00064837"/>
    <w:rsid w:val="001570E5"/>
    <w:rsid w:val="002E63D4"/>
    <w:rsid w:val="003234B4"/>
    <w:rsid w:val="00377342"/>
    <w:rsid w:val="003E482A"/>
    <w:rsid w:val="004307C5"/>
    <w:rsid w:val="0047370D"/>
    <w:rsid w:val="004F4867"/>
    <w:rsid w:val="005033E1"/>
    <w:rsid w:val="005973E4"/>
    <w:rsid w:val="0068518E"/>
    <w:rsid w:val="00712D07"/>
    <w:rsid w:val="00882B53"/>
    <w:rsid w:val="00956943"/>
    <w:rsid w:val="009E4EEC"/>
    <w:rsid w:val="00A13A01"/>
    <w:rsid w:val="00AA5403"/>
    <w:rsid w:val="00BF482D"/>
    <w:rsid w:val="00C02E25"/>
    <w:rsid w:val="00C15EBA"/>
    <w:rsid w:val="00CE08DA"/>
    <w:rsid w:val="00D25E6B"/>
    <w:rsid w:val="00D407CD"/>
    <w:rsid w:val="00D803A4"/>
    <w:rsid w:val="00F218AC"/>
    <w:rsid w:val="00F337DF"/>
    <w:rsid w:val="00F52ED3"/>
    <w:rsid w:val="00F727C3"/>
    <w:rsid w:val="00F7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8AC"/>
    <w:pPr>
      <w:ind w:left="720"/>
      <w:contextualSpacing/>
    </w:pPr>
  </w:style>
  <w:style w:type="paragraph" w:styleId="Header">
    <w:name w:val="header"/>
    <w:basedOn w:val="Normal"/>
    <w:link w:val="HeaderChar"/>
    <w:uiPriority w:val="99"/>
    <w:unhideWhenUsed/>
    <w:rsid w:val="00A13A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A01"/>
  </w:style>
  <w:style w:type="paragraph" w:styleId="Footer">
    <w:name w:val="footer"/>
    <w:basedOn w:val="Normal"/>
    <w:link w:val="FooterChar"/>
    <w:uiPriority w:val="99"/>
    <w:unhideWhenUsed/>
    <w:rsid w:val="00A13A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A01"/>
  </w:style>
  <w:style w:type="paragraph" w:customStyle="1" w:styleId="APASectionHeader">
    <w:name w:val="APA Section Header"/>
    <w:basedOn w:val="Normal"/>
    <w:link w:val="APASectionHeaderChar"/>
    <w:rsid w:val="00A13A01"/>
    <w:pPr>
      <w:spacing w:line="480" w:lineRule="auto"/>
    </w:pPr>
    <w:rPr>
      <w:rFonts w:ascii="Times New Roman" w:eastAsia="Times New Roman" w:hAnsi="Times New Roman" w:cs="Times New Roman"/>
      <w:noProof/>
      <w:sz w:val="24"/>
      <w:szCs w:val="24"/>
    </w:rPr>
  </w:style>
  <w:style w:type="character" w:customStyle="1" w:styleId="APASectionHeaderChar">
    <w:name w:val="APA Section Header Char"/>
    <w:basedOn w:val="DefaultParagraphFont"/>
    <w:link w:val="APASectionHeader"/>
    <w:rsid w:val="00A13A01"/>
    <w:rPr>
      <w:rFonts w:ascii="Times New Roman" w:eastAsia="Times New Roman" w:hAnsi="Times New Roman" w:cs="Times New Roman"/>
      <w:noProof/>
      <w:sz w:val="24"/>
      <w:szCs w:val="24"/>
    </w:rPr>
  </w:style>
  <w:style w:type="paragraph" w:styleId="NormalWeb">
    <w:name w:val="Normal (Web)"/>
    <w:basedOn w:val="Normal"/>
    <w:uiPriority w:val="99"/>
    <w:semiHidden/>
    <w:unhideWhenUsed/>
    <w:rsid w:val="00A13A0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8AC"/>
    <w:pPr>
      <w:ind w:left="720"/>
      <w:contextualSpacing/>
    </w:pPr>
  </w:style>
  <w:style w:type="paragraph" w:styleId="Header">
    <w:name w:val="header"/>
    <w:basedOn w:val="Normal"/>
    <w:link w:val="HeaderChar"/>
    <w:uiPriority w:val="99"/>
    <w:unhideWhenUsed/>
    <w:rsid w:val="00A13A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A01"/>
  </w:style>
  <w:style w:type="paragraph" w:styleId="Footer">
    <w:name w:val="footer"/>
    <w:basedOn w:val="Normal"/>
    <w:link w:val="FooterChar"/>
    <w:uiPriority w:val="99"/>
    <w:unhideWhenUsed/>
    <w:rsid w:val="00A13A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A01"/>
  </w:style>
  <w:style w:type="paragraph" w:customStyle="1" w:styleId="APASectionHeader">
    <w:name w:val="APA Section Header"/>
    <w:basedOn w:val="Normal"/>
    <w:link w:val="APASectionHeaderChar"/>
    <w:rsid w:val="00A13A01"/>
    <w:pPr>
      <w:spacing w:line="480" w:lineRule="auto"/>
    </w:pPr>
    <w:rPr>
      <w:rFonts w:ascii="Times New Roman" w:eastAsia="Times New Roman" w:hAnsi="Times New Roman" w:cs="Times New Roman"/>
      <w:noProof/>
      <w:sz w:val="24"/>
      <w:szCs w:val="24"/>
    </w:rPr>
  </w:style>
  <w:style w:type="character" w:customStyle="1" w:styleId="APASectionHeaderChar">
    <w:name w:val="APA Section Header Char"/>
    <w:basedOn w:val="DefaultParagraphFont"/>
    <w:link w:val="APASectionHeader"/>
    <w:rsid w:val="00A13A01"/>
    <w:rPr>
      <w:rFonts w:ascii="Times New Roman" w:eastAsia="Times New Roman" w:hAnsi="Times New Roman" w:cs="Times New Roman"/>
      <w:noProof/>
      <w:sz w:val="24"/>
      <w:szCs w:val="24"/>
    </w:rPr>
  </w:style>
  <w:style w:type="paragraph" w:styleId="NormalWeb">
    <w:name w:val="Normal (Web)"/>
    <w:basedOn w:val="Normal"/>
    <w:uiPriority w:val="99"/>
    <w:semiHidden/>
    <w:unhideWhenUsed/>
    <w:rsid w:val="00A13A0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150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1612</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2020-12-03T13:15:00Z</dcterms:created>
  <dcterms:modified xsi:type="dcterms:W3CDTF">2020-12-03T13:15:00Z</dcterms:modified>
</cp:coreProperties>
</file>