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AF197A" w:rsidRDefault="00AF197A" w:rsidP="00AF197A">
      <w:pPr>
        <w:spacing w:line="240" w:lineRule="auto"/>
        <w:ind w:firstLine="720"/>
        <w:jc w:val="center"/>
        <w:rPr>
          <w:rFonts w:ascii="Times New Roman" w:hAnsi="Times New Roman" w:cs="Times New Roman"/>
          <w:sz w:val="24"/>
          <w:szCs w:val="24"/>
        </w:rPr>
      </w:pPr>
    </w:p>
    <w:p w:rsidR="00AF197A" w:rsidRDefault="00AF197A" w:rsidP="00AF197A">
      <w:pPr>
        <w:spacing w:line="240" w:lineRule="auto"/>
        <w:ind w:firstLine="720"/>
        <w:jc w:val="center"/>
        <w:rPr>
          <w:rFonts w:ascii="Times New Roman" w:hAnsi="Times New Roman" w:cs="Times New Roman"/>
          <w:sz w:val="24"/>
          <w:szCs w:val="24"/>
        </w:rPr>
      </w:pPr>
    </w:p>
    <w:p w:rsidR="00AF197A" w:rsidRDefault="00AF197A" w:rsidP="00AF197A">
      <w:pPr>
        <w:spacing w:line="240" w:lineRule="auto"/>
        <w:ind w:firstLine="720"/>
        <w:jc w:val="center"/>
        <w:rPr>
          <w:rFonts w:ascii="Times New Roman" w:hAnsi="Times New Roman" w:cs="Times New Roman"/>
          <w:sz w:val="24"/>
          <w:szCs w:val="24"/>
        </w:rPr>
      </w:pPr>
    </w:p>
    <w:p w:rsidR="00AF197A" w:rsidRDefault="00AF197A" w:rsidP="00AF197A">
      <w:pPr>
        <w:spacing w:line="240" w:lineRule="auto"/>
        <w:ind w:firstLine="720"/>
        <w:jc w:val="center"/>
        <w:rPr>
          <w:rFonts w:ascii="Times New Roman" w:hAnsi="Times New Roman" w:cs="Times New Roman"/>
          <w:sz w:val="24"/>
          <w:szCs w:val="24"/>
        </w:rPr>
      </w:pPr>
    </w:p>
    <w:p w:rsidR="00AF197A" w:rsidRDefault="00AF197A" w:rsidP="00AF197A">
      <w:pPr>
        <w:spacing w:line="240" w:lineRule="auto"/>
        <w:ind w:firstLine="720"/>
        <w:jc w:val="center"/>
        <w:rPr>
          <w:rFonts w:ascii="Times New Roman" w:hAnsi="Times New Roman" w:cs="Times New Roman"/>
          <w:sz w:val="24"/>
          <w:szCs w:val="24"/>
        </w:rPr>
      </w:pPr>
    </w:p>
    <w:p w:rsidR="00AF197A" w:rsidRDefault="00AF197A" w:rsidP="00AF197A">
      <w:pPr>
        <w:spacing w:line="240" w:lineRule="auto"/>
        <w:ind w:firstLine="720"/>
        <w:jc w:val="center"/>
        <w:rPr>
          <w:rFonts w:ascii="Times New Roman" w:hAnsi="Times New Roman" w:cs="Times New Roman"/>
          <w:sz w:val="24"/>
          <w:szCs w:val="24"/>
        </w:rPr>
      </w:pPr>
    </w:p>
    <w:p w:rsidR="00DD1C2A" w:rsidRDefault="00AF197A" w:rsidP="00AF197A">
      <w:pPr>
        <w:spacing w:line="240" w:lineRule="auto"/>
        <w:ind w:firstLine="720"/>
        <w:jc w:val="center"/>
        <w:rPr>
          <w:rFonts w:ascii="Times New Roman" w:hAnsi="Times New Roman" w:cs="Times New Roman"/>
          <w:sz w:val="24"/>
        </w:rPr>
      </w:pPr>
      <w:r w:rsidRPr="00AF197A">
        <w:rPr>
          <w:rFonts w:ascii="Times New Roman" w:hAnsi="Times New Roman" w:cs="Times New Roman"/>
          <w:sz w:val="24"/>
          <w:szCs w:val="24"/>
        </w:rPr>
        <w:t>G</w:t>
      </w:r>
      <w:r w:rsidRPr="00AF197A">
        <w:rPr>
          <w:rFonts w:ascii="Times New Roman" w:hAnsi="Times New Roman" w:cs="Times New Roman"/>
          <w:sz w:val="24"/>
          <w:szCs w:val="24"/>
        </w:rPr>
        <w:t>entrification</w:t>
      </w:r>
    </w:p>
    <w:p w:rsidR="00CA516D" w:rsidRDefault="00DD1C2A" w:rsidP="00AF197A">
      <w:pPr>
        <w:spacing w:line="240" w:lineRule="auto"/>
        <w:ind w:firstLine="720"/>
        <w:jc w:val="center"/>
        <w:rPr>
          <w:rFonts w:ascii="Times New Roman" w:hAnsi="Times New Roman" w:cs="Times New Roman"/>
          <w:sz w:val="24"/>
        </w:rPr>
      </w:pPr>
      <w:r>
        <w:rPr>
          <w:rFonts w:ascii="Times New Roman" w:hAnsi="Times New Roman" w:cs="Times New Roman"/>
          <w:sz w:val="24"/>
        </w:rPr>
        <w:t>Name:</w:t>
      </w:r>
    </w:p>
    <w:p w:rsidR="00DD1C2A" w:rsidRDefault="00DD1C2A" w:rsidP="00CA516D">
      <w:pPr>
        <w:spacing w:line="240" w:lineRule="auto"/>
        <w:ind w:firstLine="720"/>
        <w:jc w:val="center"/>
        <w:rPr>
          <w:rFonts w:ascii="Times New Roman" w:hAnsi="Times New Roman" w:cs="Times New Roman"/>
          <w:sz w:val="24"/>
        </w:rPr>
      </w:pPr>
      <w:r>
        <w:rPr>
          <w:rFonts w:ascii="Times New Roman" w:hAnsi="Times New Roman" w:cs="Times New Roman"/>
          <w:sz w:val="24"/>
        </w:rPr>
        <w:t>Institution:</w:t>
      </w:r>
    </w:p>
    <w:p w:rsidR="00554EA5" w:rsidRDefault="00554EA5" w:rsidP="00CA516D">
      <w:pPr>
        <w:spacing w:line="240" w:lineRule="auto"/>
        <w:ind w:firstLine="720"/>
        <w:jc w:val="center"/>
        <w:rPr>
          <w:rFonts w:ascii="Times New Roman" w:hAnsi="Times New Roman" w:cs="Times New Roman"/>
          <w:sz w:val="24"/>
        </w:rPr>
      </w:pPr>
    </w:p>
    <w:p w:rsidR="00DD1C2A" w:rsidRDefault="00DD1C2A" w:rsidP="00CA516D">
      <w:pPr>
        <w:spacing w:line="240" w:lineRule="auto"/>
        <w:ind w:firstLine="720"/>
        <w:jc w:val="center"/>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AF197A" w:rsidRDefault="00AF197A" w:rsidP="00B04725">
      <w:pPr>
        <w:spacing w:line="240" w:lineRule="auto"/>
        <w:ind w:firstLine="720"/>
        <w:rPr>
          <w:rFonts w:ascii="Times New Roman" w:hAnsi="Times New Roman" w:cs="Times New Roman"/>
          <w:sz w:val="24"/>
        </w:rPr>
      </w:pPr>
    </w:p>
    <w:p w:rsidR="00DD1C2A" w:rsidRDefault="00DD1C2A" w:rsidP="00B04725">
      <w:pPr>
        <w:spacing w:line="240" w:lineRule="auto"/>
        <w:ind w:firstLine="720"/>
        <w:rPr>
          <w:rFonts w:ascii="Times New Roman" w:hAnsi="Times New Roman" w:cs="Times New Roman"/>
          <w:sz w:val="24"/>
        </w:rPr>
      </w:pP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lastRenderedPageBreak/>
        <w:t>It has become a concern regarding Social Inequality and Social Justice in ageing population due to frequent confrontations that arise with old people especially the ones who live in poverty and live next to others who are of the same age group but enjoy a life marred with flourishing abundance. There is need to give significant support to such people in destitute situations, but still, there have been questions regarding where the actual differences arise from. The biggest question is whether such an act ought to be considered just or not just. For one to answer such questions, it would be advisable for them to consider aspects that go beyond generalizing, like for example age groups, generations and cohorts to be in a position to identify processes of intra-cohorts differentiation hence unequal life chances over subsequent cohorts. Speaking of Social Justice, it has always been essential to consider beyond assumptions that all human beings are ‘born equal', ‘choose freely' and ‘age naturally'. Considering life course perspective or life span ageing helps one to comprehend the social nature of human life and such should never be considered as its existing determination but rather as a precondition of its emergent autonomy (</w:t>
      </w:r>
      <w:proofErr w:type="spellStart"/>
      <w:r w:rsidRPr="00EF1E0A">
        <w:rPr>
          <w:rFonts w:ascii="Times New Roman" w:hAnsi="Times New Roman" w:cs="Times New Roman"/>
          <w:sz w:val="24"/>
        </w:rPr>
        <w:t>Baars</w:t>
      </w:r>
      <w:proofErr w:type="spellEnd"/>
      <w:r w:rsidRPr="00EF1E0A">
        <w:rPr>
          <w:rFonts w:ascii="Times New Roman" w:hAnsi="Times New Roman" w:cs="Times New Roman"/>
          <w:sz w:val="24"/>
        </w:rPr>
        <w:t>, 2017).</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t xml:space="preserve">The entire process of rebuilding </w:t>
      </w:r>
      <w:proofErr w:type="spellStart"/>
      <w:r w:rsidRPr="00EF1E0A">
        <w:rPr>
          <w:rFonts w:ascii="Times New Roman" w:hAnsi="Times New Roman" w:cs="Times New Roman"/>
          <w:sz w:val="24"/>
        </w:rPr>
        <w:t>neighbourhood</w:t>
      </w:r>
      <w:proofErr w:type="spellEnd"/>
      <w:r w:rsidRPr="00EF1E0A">
        <w:rPr>
          <w:rFonts w:ascii="Times New Roman" w:hAnsi="Times New Roman" w:cs="Times New Roman"/>
          <w:sz w:val="24"/>
        </w:rPr>
        <w:t xml:space="preserve"> that is deteriorated through an influx of more affluent residents is referred to as renewal. It has been one of the controversial topics, especially in politics when an issue of urban planning arises. This is because the process entails relocation of established businesses and residents thus causing them to shift from the gentrified places to search for at least lower cost store and housing. The problem with gentrification is that it shifts either a </w:t>
      </w:r>
      <w:proofErr w:type="spellStart"/>
      <w:r w:rsidRPr="00EF1E0A">
        <w:rPr>
          <w:rFonts w:ascii="Times New Roman" w:hAnsi="Times New Roman" w:cs="Times New Roman"/>
          <w:sz w:val="24"/>
        </w:rPr>
        <w:t>neighbourhood's</w:t>
      </w:r>
      <w:proofErr w:type="spellEnd"/>
      <w:r w:rsidRPr="00EF1E0A">
        <w:rPr>
          <w:rFonts w:ascii="Times New Roman" w:hAnsi="Times New Roman" w:cs="Times New Roman"/>
          <w:sz w:val="24"/>
        </w:rPr>
        <w:t xml:space="preserve"> ethnic or racial composition or even entire average household income as a result of the development of not only new but also more expensive households, business with more improved resources. There have been extended talks on gentrification, and many people in the social-scientific society have mostly been concerned with the negative implications that are particularly associated with the term ‘gentrification' (</w:t>
      </w:r>
      <w:proofErr w:type="spellStart"/>
      <w:r w:rsidRPr="00EF1E0A">
        <w:rPr>
          <w:rFonts w:ascii="Times New Roman" w:hAnsi="Times New Roman" w:cs="Times New Roman"/>
          <w:sz w:val="24"/>
        </w:rPr>
        <w:t>Wosinski</w:t>
      </w:r>
      <w:proofErr w:type="spellEnd"/>
      <w:r w:rsidRPr="00EF1E0A">
        <w:rPr>
          <w:rFonts w:ascii="Times New Roman" w:hAnsi="Times New Roman" w:cs="Times New Roman"/>
          <w:sz w:val="24"/>
        </w:rPr>
        <w:t>, 2012).</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t xml:space="preserve">    One notable negative effect due to gentrification is that it causes displacement of community with families of low-income given the rise of rental cost and property values. However, it has become a trend that every </w:t>
      </w:r>
      <w:proofErr w:type="spellStart"/>
      <w:r w:rsidRPr="00EF1E0A">
        <w:rPr>
          <w:rFonts w:ascii="Times New Roman" w:hAnsi="Times New Roman" w:cs="Times New Roman"/>
          <w:sz w:val="24"/>
        </w:rPr>
        <w:t>neighbourhood</w:t>
      </w:r>
      <w:proofErr w:type="spellEnd"/>
      <w:r w:rsidRPr="00EF1E0A">
        <w:rPr>
          <w:rFonts w:ascii="Times New Roman" w:hAnsi="Times New Roman" w:cs="Times New Roman"/>
          <w:sz w:val="24"/>
        </w:rPr>
        <w:t xml:space="preserve"> experiences unique challenges, and this means impacts of displacement tend to vary. Existing correlation between subsequent displacement due to the gentrification of </w:t>
      </w:r>
      <w:proofErr w:type="spellStart"/>
      <w:r w:rsidRPr="00EF1E0A">
        <w:rPr>
          <w:rFonts w:ascii="Times New Roman" w:hAnsi="Times New Roman" w:cs="Times New Roman"/>
          <w:sz w:val="24"/>
        </w:rPr>
        <w:t>neighbourhoods</w:t>
      </w:r>
      <w:proofErr w:type="spellEnd"/>
      <w:r w:rsidRPr="00EF1E0A">
        <w:rPr>
          <w:rFonts w:ascii="Times New Roman" w:hAnsi="Times New Roman" w:cs="Times New Roman"/>
          <w:sz w:val="24"/>
        </w:rPr>
        <w:t xml:space="preserve"> and shortage of affordable housing has never been a fact to debate on. It is worth noting that landlords embrace values of a rising market and do away with long-time low-income earners so that they sell or rent to the more affluent. Strategies that are put in place to suppress displacement challenges include affordable low-income housing and stringent housing regulations that surround eviction (Staff, 2016).</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t xml:space="preserve">In Los Angeles, USC Edward R. </w:t>
      </w:r>
      <w:proofErr w:type="spellStart"/>
      <w:r w:rsidRPr="00EF1E0A">
        <w:rPr>
          <w:rFonts w:ascii="Times New Roman" w:hAnsi="Times New Roman" w:cs="Times New Roman"/>
          <w:sz w:val="24"/>
        </w:rPr>
        <w:t>Roybal</w:t>
      </w:r>
      <w:proofErr w:type="spellEnd"/>
      <w:r w:rsidRPr="00EF1E0A">
        <w:rPr>
          <w:rFonts w:ascii="Times New Roman" w:hAnsi="Times New Roman" w:cs="Times New Roman"/>
          <w:sz w:val="24"/>
        </w:rPr>
        <w:t xml:space="preserve"> is an institute that takes care of the ageing. The institution provides information to the society regarding healthy living through the partnership with the already established organizations that provide programs and resources for the low-income minorities and the ageing. Research is conducted that assists in establishing new interventions that are evidence-based and ones that improve lives of the elderly around the world. The same administration has developed a program that provides medical help for residents of nursing homes, ones who are not in the position to speak for </w:t>
      </w:r>
      <w:proofErr w:type="gramStart"/>
      <w:r w:rsidRPr="00EF1E0A">
        <w:rPr>
          <w:rFonts w:ascii="Times New Roman" w:hAnsi="Times New Roman" w:cs="Times New Roman"/>
          <w:sz w:val="24"/>
        </w:rPr>
        <w:t>themselves</w:t>
      </w:r>
      <w:proofErr w:type="gramEnd"/>
      <w:r w:rsidRPr="00EF1E0A">
        <w:rPr>
          <w:rFonts w:ascii="Times New Roman" w:hAnsi="Times New Roman" w:cs="Times New Roman"/>
          <w:sz w:val="24"/>
        </w:rPr>
        <w:t>. The same program has been vital in developing a platform for resolving problems for persons and also working at the local, national and state levels to enhance the improved quality of life and care (</w:t>
      </w:r>
      <w:proofErr w:type="spellStart"/>
      <w:r w:rsidRPr="00EF1E0A">
        <w:rPr>
          <w:rFonts w:ascii="Times New Roman" w:hAnsi="Times New Roman" w:cs="Times New Roman"/>
          <w:sz w:val="24"/>
        </w:rPr>
        <w:t>Panourgiá</w:t>
      </w:r>
      <w:proofErr w:type="spellEnd"/>
      <w:r w:rsidRPr="00EF1E0A">
        <w:rPr>
          <w:rFonts w:ascii="Times New Roman" w:hAnsi="Times New Roman" w:cs="Times New Roman"/>
          <w:sz w:val="24"/>
        </w:rPr>
        <w:t xml:space="preserve">, 2017).    </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lastRenderedPageBreak/>
        <w:t xml:space="preserve">An agency of the Administration on Aging referred to as Office of Elder </w:t>
      </w:r>
      <w:proofErr w:type="gramStart"/>
      <w:r w:rsidRPr="00EF1E0A">
        <w:rPr>
          <w:rFonts w:ascii="Times New Roman" w:hAnsi="Times New Roman" w:cs="Times New Roman"/>
          <w:sz w:val="24"/>
        </w:rPr>
        <w:t>Justice,</w:t>
      </w:r>
      <w:proofErr w:type="gramEnd"/>
      <w:r w:rsidRPr="00EF1E0A">
        <w:rPr>
          <w:rFonts w:ascii="Times New Roman" w:hAnsi="Times New Roman" w:cs="Times New Roman"/>
          <w:sz w:val="24"/>
        </w:rPr>
        <w:t xml:space="preserve"> and Adult Protective Services leads, manages and provides enhancement of Adult Protective Services, and it takes care of provision of a well-coordinated response especially given situations where the elderly are on the receiving end of abuse. The agency addresses a far-reaching suite of issues that include home equity, chronic disease, and money management and </w:t>
      </w:r>
      <w:proofErr w:type="gramStart"/>
      <w:r w:rsidRPr="00EF1E0A">
        <w:rPr>
          <w:rFonts w:ascii="Times New Roman" w:hAnsi="Times New Roman" w:cs="Times New Roman"/>
          <w:sz w:val="24"/>
        </w:rPr>
        <w:t>falls</w:t>
      </w:r>
      <w:proofErr w:type="gramEnd"/>
      <w:r w:rsidRPr="00EF1E0A">
        <w:rPr>
          <w:rFonts w:ascii="Times New Roman" w:hAnsi="Times New Roman" w:cs="Times New Roman"/>
          <w:sz w:val="24"/>
        </w:rPr>
        <w:t xml:space="preserve"> prevention. This agency can also work with Macro Social Workers around the Eternal link of elder justice thus taking advantage of the advocacy toolkit (Lees, 2008).   </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t xml:space="preserve">Just like any other member of the community, the senior citizens are important members. It is thus quite important that all communities recognize all needs that the senior citizens have and as well their importance in our communities. It is also very important that we make the elderly feel loved and appreciated in the society after which community members will hence be in a position to use any applicable skill that is possessed by the same ageing persons. The logic remains that such people have been around for a while. It thus stands to reason that such people have wide experience with things that work for various communities and this that do not. Leaders in varied communities should always take to heart opinions from the elderly, and this precedes acknowledging their presence as such people give out knowledge and wisdom and indeed ultimately making a stronger society (Lees, 2008). </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t xml:space="preserve"> Elderly people should also be provided with extra care from either nursing homes or nurses or even the close family members. Job opportunities pop up whenever a community comes up with care </w:t>
      </w:r>
      <w:proofErr w:type="spellStart"/>
      <w:r w:rsidRPr="00EF1E0A">
        <w:rPr>
          <w:rFonts w:ascii="Times New Roman" w:hAnsi="Times New Roman" w:cs="Times New Roman"/>
          <w:sz w:val="24"/>
        </w:rPr>
        <w:t>centres</w:t>
      </w:r>
      <w:proofErr w:type="spellEnd"/>
      <w:r w:rsidRPr="00EF1E0A">
        <w:rPr>
          <w:rFonts w:ascii="Times New Roman" w:hAnsi="Times New Roman" w:cs="Times New Roman"/>
          <w:sz w:val="24"/>
        </w:rPr>
        <w:t xml:space="preserve"> and nursing homes for the elderly. Most of the people think that it is a burden to have elderly </w:t>
      </w:r>
      <w:proofErr w:type="spellStart"/>
      <w:r w:rsidRPr="00EF1E0A">
        <w:rPr>
          <w:rFonts w:ascii="Times New Roman" w:hAnsi="Times New Roman" w:cs="Times New Roman"/>
          <w:sz w:val="24"/>
        </w:rPr>
        <w:t>neighbours</w:t>
      </w:r>
      <w:proofErr w:type="spellEnd"/>
      <w:r w:rsidRPr="00EF1E0A">
        <w:rPr>
          <w:rFonts w:ascii="Times New Roman" w:hAnsi="Times New Roman" w:cs="Times New Roman"/>
          <w:sz w:val="24"/>
        </w:rPr>
        <w:t xml:space="preserve"> by when certain help for them is required, it thus happens that new jobs are created and in turn other members of the same community benefit and hence a sustained and flourishing economy, besides gaining knowledge and skills that benefit other people. Older adults tend to be caring and loving to the younger people. The moment the elderly are given the same opportunity, they ultimately develop the sense of belonging as they feel that they are providing at least something to the society rather than just being the ones in need. To fully embrace the existence of elderly </w:t>
      </w:r>
      <w:proofErr w:type="spellStart"/>
      <w:r w:rsidRPr="00EF1E0A">
        <w:rPr>
          <w:rFonts w:ascii="Times New Roman" w:hAnsi="Times New Roman" w:cs="Times New Roman"/>
          <w:sz w:val="24"/>
        </w:rPr>
        <w:t>neighbours</w:t>
      </w:r>
      <w:proofErr w:type="spellEnd"/>
      <w:r w:rsidRPr="00EF1E0A">
        <w:rPr>
          <w:rFonts w:ascii="Times New Roman" w:hAnsi="Times New Roman" w:cs="Times New Roman"/>
          <w:sz w:val="24"/>
        </w:rPr>
        <w:t xml:space="preserve">, communities ought to realize that they are in dire need of learning from entire members of the community in question and it includes the elderly. The point is everyone's opinion has its own attached value for that matter regardless of one's age. It is thus important that one does not discredit opinions and ideas provided by the elderly (Staff, 2016). </w:t>
      </w:r>
    </w:p>
    <w:p w:rsidR="00EF1E0A" w:rsidRPr="00EF1E0A" w:rsidRDefault="00EF1E0A" w:rsidP="00EF1E0A">
      <w:pPr>
        <w:spacing w:line="240" w:lineRule="auto"/>
        <w:rPr>
          <w:rFonts w:ascii="Times New Roman" w:hAnsi="Times New Roman" w:cs="Times New Roman"/>
          <w:sz w:val="24"/>
        </w:rPr>
      </w:pPr>
      <w:r w:rsidRPr="00EF1E0A">
        <w:rPr>
          <w:rFonts w:ascii="Times New Roman" w:hAnsi="Times New Roman" w:cs="Times New Roman"/>
          <w:sz w:val="24"/>
        </w:rPr>
        <w:t>It can thus be concluded that Social Justice provides a basic form when it comes to distribution of opportunities and equal rights that are given to all members of a community. The most discouraging part is when rights of the elderly disregarded or even limited. To ensure social justice for all members of the society is embraced, particularly the elderly, it is always imperative to consider the desires and needs of the same persons and ascertain that opportunities and their rights are highly and discreetly put into consideration (</w:t>
      </w:r>
      <w:proofErr w:type="spellStart"/>
      <w:r w:rsidRPr="00EF1E0A">
        <w:rPr>
          <w:rFonts w:ascii="Times New Roman" w:hAnsi="Times New Roman" w:cs="Times New Roman"/>
          <w:sz w:val="24"/>
        </w:rPr>
        <w:t>Panourgiá</w:t>
      </w:r>
      <w:proofErr w:type="spellEnd"/>
      <w:r w:rsidRPr="00EF1E0A">
        <w:rPr>
          <w:rFonts w:ascii="Times New Roman" w:hAnsi="Times New Roman" w:cs="Times New Roman"/>
          <w:sz w:val="24"/>
        </w:rPr>
        <w:t xml:space="preserve">, 2017). When such is achieved, we can unanimously agree that most positive contribution to the society has been embraced and this will have been made possible with the help of tried and most experienced members.   </w:t>
      </w:r>
    </w:p>
    <w:p w:rsidR="00EF1E0A" w:rsidRPr="00EF1E0A" w:rsidRDefault="00EF1E0A" w:rsidP="00EF1E0A">
      <w:pPr>
        <w:spacing w:line="240" w:lineRule="auto"/>
        <w:rPr>
          <w:rFonts w:ascii="Times New Roman" w:hAnsi="Times New Roman" w:cs="Times New Roman"/>
          <w:color w:val="FF0000"/>
          <w:sz w:val="24"/>
        </w:rPr>
      </w:pPr>
    </w:p>
    <w:p w:rsidR="00EF1E0A" w:rsidRPr="00EF1E0A" w:rsidRDefault="00EF1E0A" w:rsidP="00EF1E0A">
      <w:pPr>
        <w:spacing w:line="240" w:lineRule="auto"/>
        <w:rPr>
          <w:rFonts w:ascii="Times New Roman" w:hAnsi="Times New Roman" w:cs="Times New Roman"/>
          <w:color w:val="FF0000"/>
          <w:sz w:val="24"/>
        </w:rPr>
      </w:pPr>
    </w:p>
    <w:p w:rsidR="0040085A" w:rsidRPr="0040085A" w:rsidRDefault="0040085A" w:rsidP="00EF1E0A">
      <w:pPr>
        <w:spacing w:line="240" w:lineRule="auto"/>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References</w:t>
      </w:r>
    </w:p>
    <w:p w:rsidR="0040085A" w:rsidRPr="00EF1E0A" w:rsidRDefault="0040085A" w:rsidP="0040085A">
      <w:pPr>
        <w:spacing w:line="240" w:lineRule="auto"/>
        <w:ind w:left="720" w:hanging="720"/>
        <w:rPr>
          <w:rFonts w:ascii="Times New Roman" w:hAnsi="Times New Roman" w:cs="Times New Roman"/>
          <w:color w:val="000000" w:themeColor="text1"/>
          <w:sz w:val="24"/>
        </w:rPr>
      </w:pPr>
      <w:proofErr w:type="spellStart"/>
      <w:r w:rsidRPr="00EF1E0A">
        <w:rPr>
          <w:rFonts w:ascii="Times New Roman" w:hAnsi="Times New Roman" w:cs="Times New Roman"/>
          <w:color w:val="000000" w:themeColor="text1"/>
          <w:sz w:val="24"/>
        </w:rPr>
        <w:t>Baars</w:t>
      </w:r>
      <w:proofErr w:type="spellEnd"/>
      <w:r w:rsidRPr="00EF1E0A">
        <w:rPr>
          <w:rFonts w:ascii="Times New Roman" w:hAnsi="Times New Roman" w:cs="Times New Roman"/>
          <w:color w:val="000000" w:themeColor="text1"/>
          <w:sz w:val="24"/>
        </w:rPr>
        <w:t xml:space="preserve">, J. (2017). </w:t>
      </w:r>
      <w:proofErr w:type="gramStart"/>
      <w:r w:rsidRPr="00EF1E0A">
        <w:rPr>
          <w:rFonts w:ascii="Times New Roman" w:hAnsi="Times New Roman" w:cs="Times New Roman"/>
          <w:color w:val="000000" w:themeColor="text1"/>
          <w:sz w:val="24"/>
        </w:rPr>
        <w:t>Ageing, SOCIAL INEQUALITY, AND SOCIAL JUSTICE.</w:t>
      </w:r>
      <w:proofErr w:type="gramEnd"/>
      <w:r w:rsidRPr="00EF1E0A">
        <w:rPr>
          <w:rFonts w:ascii="Times New Roman" w:hAnsi="Times New Roman" w:cs="Times New Roman"/>
          <w:color w:val="000000" w:themeColor="text1"/>
          <w:sz w:val="24"/>
        </w:rPr>
        <w:t xml:space="preserve"> OXFORD ACADEMIC, 1-6.</w:t>
      </w:r>
    </w:p>
    <w:p w:rsidR="0040085A" w:rsidRPr="00EF1E0A" w:rsidRDefault="0040085A" w:rsidP="0040085A">
      <w:pPr>
        <w:spacing w:line="240" w:lineRule="auto"/>
        <w:ind w:left="720" w:hanging="720"/>
        <w:rPr>
          <w:rFonts w:ascii="Times New Roman" w:hAnsi="Times New Roman" w:cs="Times New Roman"/>
          <w:color w:val="000000" w:themeColor="text1"/>
          <w:sz w:val="24"/>
        </w:rPr>
      </w:pPr>
      <w:r w:rsidRPr="00EF1E0A">
        <w:rPr>
          <w:rFonts w:ascii="Times New Roman" w:hAnsi="Times New Roman" w:cs="Times New Roman"/>
          <w:color w:val="000000" w:themeColor="text1"/>
          <w:sz w:val="24"/>
        </w:rPr>
        <w:t xml:space="preserve">Lees, L. T. (2008). </w:t>
      </w:r>
      <w:proofErr w:type="gramStart"/>
      <w:r w:rsidRPr="00EF1E0A">
        <w:rPr>
          <w:rFonts w:ascii="Times New Roman" w:hAnsi="Times New Roman" w:cs="Times New Roman"/>
          <w:color w:val="000000" w:themeColor="text1"/>
          <w:sz w:val="24"/>
        </w:rPr>
        <w:t>Gentrification.</w:t>
      </w:r>
      <w:proofErr w:type="gramEnd"/>
      <w:r w:rsidRPr="00EF1E0A">
        <w:rPr>
          <w:rFonts w:ascii="Times New Roman" w:hAnsi="Times New Roman" w:cs="Times New Roman"/>
          <w:color w:val="000000" w:themeColor="text1"/>
          <w:sz w:val="24"/>
        </w:rPr>
        <w:t xml:space="preserve"> New York: Routledge/Taylor &amp; Francis Group.</w:t>
      </w:r>
    </w:p>
    <w:p w:rsidR="0040085A" w:rsidRPr="00EF1E0A" w:rsidRDefault="0040085A" w:rsidP="0040085A">
      <w:pPr>
        <w:spacing w:line="240" w:lineRule="auto"/>
        <w:ind w:left="720" w:hanging="720"/>
        <w:rPr>
          <w:rFonts w:ascii="Times New Roman" w:hAnsi="Times New Roman" w:cs="Times New Roman"/>
          <w:color w:val="000000" w:themeColor="text1"/>
          <w:sz w:val="24"/>
        </w:rPr>
      </w:pPr>
      <w:proofErr w:type="spellStart"/>
      <w:r w:rsidRPr="00EF1E0A">
        <w:rPr>
          <w:rFonts w:ascii="Times New Roman" w:hAnsi="Times New Roman" w:cs="Times New Roman"/>
          <w:color w:val="000000" w:themeColor="text1"/>
          <w:sz w:val="24"/>
        </w:rPr>
        <w:t>Panourgiá</w:t>
      </w:r>
      <w:proofErr w:type="spellEnd"/>
      <w:r w:rsidRPr="00EF1E0A">
        <w:rPr>
          <w:rFonts w:ascii="Times New Roman" w:hAnsi="Times New Roman" w:cs="Times New Roman"/>
          <w:color w:val="000000" w:themeColor="text1"/>
          <w:sz w:val="24"/>
        </w:rPr>
        <w:t xml:space="preserve">, N. (2017). </w:t>
      </w:r>
      <w:proofErr w:type="gramStart"/>
      <w:r w:rsidRPr="00EF1E0A">
        <w:rPr>
          <w:rFonts w:ascii="Times New Roman" w:hAnsi="Times New Roman" w:cs="Times New Roman"/>
          <w:color w:val="000000" w:themeColor="text1"/>
          <w:sz w:val="24"/>
        </w:rPr>
        <w:t>Ageing and Social Justice.</w:t>
      </w:r>
      <w:proofErr w:type="gramEnd"/>
      <w:r w:rsidRPr="00EF1E0A">
        <w:rPr>
          <w:rFonts w:ascii="Times New Roman" w:hAnsi="Times New Roman" w:cs="Times New Roman"/>
          <w:color w:val="000000" w:themeColor="text1"/>
          <w:sz w:val="24"/>
        </w:rPr>
        <w:t xml:space="preserve"> INSTITUTE FOR COMPARATIVE LITERATURE AND SOCIETY.</w:t>
      </w:r>
    </w:p>
    <w:p w:rsidR="0040085A" w:rsidRPr="00EF1E0A" w:rsidRDefault="0040085A" w:rsidP="0040085A">
      <w:pPr>
        <w:spacing w:line="240" w:lineRule="auto"/>
        <w:ind w:left="720" w:hanging="720"/>
        <w:rPr>
          <w:rFonts w:ascii="Times New Roman" w:hAnsi="Times New Roman" w:cs="Times New Roman"/>
          <w:color w:val="000000" w:themeColor="text1"/>
          <w:sz w:val="24"/>
        </w:rPr>
      </w:pPr>
      <w:r w:rsidRPr="00EF1E0A">
        <w:rPr>
          <w:rFonts w:ascii="Times New Roman" w:hAnsi="Times New Roman" w:cs="Times New Roman"/>
          <w:color w:val="000000" w:themeColor="text1"/>
          <w:sz w:val="24"/>
        </w:rPr>
        <w:t>Staff, M. (2016). The Aging Poor:</w:t>
      </w:r>
      <w:bookmarkStart w:id="0" w:name="_GoBack"/>
      <w:bookmarkEnd w:id="0"/>
      <w:r w:rsidRPr="00EF1E0A">
        <w:rPr>
          <w:rFonts w:ascii="Times New Roman" w:hAnsi="Times New Roman" w:cs="Times New Roman"/>
          <w:color w:val="000000" w:themeColor="text1"/>
          <w:sz w:val="24"/>
        </w:rPr>
        <w:t xml:space="preserve"> How Social Workers Can also Help. USC University of Southern California, 1-11.</w:t>
      </w:r>
    </w:p>
    <w:p w:rsidR="0040085A" w:rsidRPr="00EF1E0A" w:rsidRDefault="0040085A" w:rsidP="0040085A">
      <w:pPr>
        <w:spacing w:line="240" w:lineRule="auto"/>
        <w:ind w:left="720" w:hanging="720"/>
        <w:rPr>
          <w:rFonts w:ascii="Times New Roman" w:hAnsi="Times New Roman" w:cs="Times New Roman"/>
          <w:color w:val="000000" w:themeColor="text1"/>
          <w:sz w:val="24"/>
        </w:rPr>
      </w:pPr>
      <w:proofErr w:type="spellStart"/>
      <w:proofErr w:type="gramStart"/>
      <w:r w:rsidRPr="00EF1E0A">
        <w:rPr>
          <w:rFonts w:ascii="Times New Roman" w:hAnsi="Times New Roman" w:cs="Times New Roman"/>
          <w:color w:val="000000" w:themeColor="text1"/>
          <w:sz w:val="24"/>
        </w:rPr>
        <w:t>Wosinski</w:t>
      </w:r>
      <w:proofErr w:type="spellEnd"/>
      <w:r w:rsidRPr="00EF1E0A">
        <w:rPr>
          <w:rFonts w:ascii="Times New Roman" w:hAnsi="Times New Roman" w:cs="Times New Roman"/>
          <w:color w:val="000000" w:themeColor="text1"/>
          <w:sz w:val="24"/>
        </w:rPr>
        <w:t>, M. (2012).</w:t>
      </w:r>
      <w:proofErr w:type="gramEnd"/>
      <w:r w:rsidRPr="00EF1E0A">
        <w:rPr>
          <w:rFonts w:ascii="Times New Roman" w:hAnsi="Times New Roman" w:cs="Times New Roman"/>
          <w:color w:val="000000" w:themeColor="text1"/>
          <w:sz w:val="24"/>
        </w:rPr>
        <w:t xml:space="preserve"> </w:t>
      </w:r>
      <w:proofErr w:type="gramStart"/>
      <w:r w:rsidRPr="00EF1E0A">
        <w:rPr>
          <w:rFonts w:ascii="Times New Roman" w:hAnsi="Times New Roman" w:cs="Times New Roman"/>
          <w:color w:val="000000" w:themeColor="text1"/>
          <w:sz w:val="24"/>
        </w:rPr>
        <w:t>Social Justice and Aging Population.</w:t>
      </w:r>
      <w:proofErr w:type="gramEnd"/>
      <w:r w:rsidRPr="00EF1E0A">
        <w:rPr>
          <w:rFonts w:ascii="Times New Roman" w:hAnsi="Times New Roman" w:cs="Times New Roman"/>
          <w:color w:val="000000" w:themeColor="text1"/>
          <w:sz w:val="24"/>
        </w:rPr>
        <w:t xml:space="preserve"> University Community Partnerships for Social Action Research, 6-10.</w:t>
      </w:r>
    </w:p>
    <w:p w:rsidR="00EF1E0A" w:rsidRPr="00EF1E0A" w:rsidRDefault="00EF1E0A" w:rsidP="00EF1E0A">
      <w:pPr>
        <w:spacing w:line="240" w:lineRule="auto"/>
        <w:rPr>
          <w:rFonts w:ascii="Times New Roman" w:hAnsi="Times New Roman" w:cs="Times New Roman"/>
          <w:color w:val="FF0000"/>
          <w:sz w:val="24"/>
        </w:rPr>
      </w:pPr>
    </w:p>
    <w:p w:rsidR="00A941FD" w:rsidRPr="009747F1" w:rsidRDefault="00A941FD" w:rsidP="00AD17B2">
      <w:pPr>
        <w:spacing w:line="240" w:lineRule="auto"/>
        <w:rPr>
          <w:rFonts w:ascii="Times New Roman" w:hAnsi="Times New Roman" w:cs="Times New Roman"/>
          <w:color w:val="FF0000"/>
          <w:sz w:val="24"/>
        </w:rPr>
      </w:pPr>
    </w:p>
    <w:sectPr w:rsidR="00A941FD" w:rsidRPr="009747F1" w:rsidSect="00AF197A">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806" w:rsidRDefault="005D4806" w:rsidP="007C4827">
      <w:pPr>
        <w:spacing w:after="0" w:line="240" w:lineRule="auto"/>
      </w:pPr>
      <w:r>
        <w:separator/>
      </w:r>
    </w:p>
  </w:endnote>
  <w:endnote w:type="continuationSeparator" w:id="0">
    <w:p w:rsidR="005D4806" w:rsidRDefault="005D4806" w:rsidP="007C4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004782"/>
      <w:docPartObj>
        <w:docPartGallery w:val="Page Numbers (Bottom of Page)"/>
        <w:docPartUnique/>
      </w:docPartObj>
    </w:sdtPr>
    <w:sdtEndPr>
      <w:rPr>
        <w:noProof/>
      </w:rPr>
    </w:sdtEndPr>
    <w:sdtContent>
      <w:p w:rsidR="00B964A5" w:rsidRDefault="00B964A5">
        <w:pPr>
          <w:pStyle w:val="Footer"/>
          <w:jc w:val="right"/>
        </w:pPr>
        <w:r>
          <w:fldChar w:fldCharType="begin"/>
        </w:r>
        <w:r>
          <w:instrText xml:space="preserve"> PAGE   \* MERGEFORMAT </w:instrText>
        </w:r>
        <w:r>
          <w:fldChar w:fldCharType="separate"/>
        </w:r>
        <w:r w:rsidR="0040085A">
          <w:rPr>
            <w:noProof/>
          </w:rPr>
          <w:t>1</w:t>
        </w:r>
        <w:r>
          <w:rPr>
            <w:noProof/>
          </w:rPr>
          <w:fldChar w:fldCharType="end"/>
        </w:r>
      </w:p>
    </w:sdtContent>
  </w:sdt>
  <w:p w:rsidR="00B964A5" w:rsidRDefault="00B964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806" w:rsidRDefault="005D4806" w:rsidP="007C4827">
      <w:pPr>
        <w:spacing w:after="0" w:line="240" w:lineRule="auto"/>
      </w:pPr>
      <w:r>
        <w:separator/>
      </w:r>
    </w:p>
  </w:footnote>
  <w:footnote w:type="continuationSeparator" w:id="0">
    <w:p w:rsidR="005D4806" w:rsidRDefault="005D4806" w:rsidP="007C4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5880512"/>
      <w:docPartObj>
        <w:docPartGallery w:val="Page Numbers (Top of Page)"/>
        <w:docPartUnique/>
      </w:docPartObj>
    </w:sdtPr>
    <w:sdtEndPr>
      <w:rPr>
        <w:noProof/>
      </w:rPr>
    </w:sdtEndPr>
    <w:sdtContent>
      <w:p w:rsidR="00B964A5" w:rsidRPr="00AF197A" w:rsidRDefault="00AF197A">
        <w:pPr>
          <w:pStyle w:val="Header"/>
          <w:jc w:val="right"/>
          <w:rPr>
            <w:rFonts w:ascii="Times New Roman" w:hAnsi="Times New Roman" w:cs="Times New Roman"/>
            <w:sz w:val="24"/>
            <w:szCs w:val="24"/>
          </w:rPr>
        </w:pPr>
        <w:r w:rsidRPr="00AF197A">
          <w:rPr>
            <w:rFonts w:ascii="Times New Roman" w:hAnsi="Times New Roman" w:cs="Times New Roman"/>
            <w:sz w:val="24"/>
            <w:szCs w:val="24"/>
          </w:rPr>
          <w:t xml:space="preserve">GENTRIFICATION </w:t>
        </w:r>
        <w:r>
          <w:rPr>
            <w:rFonts w:ascii="Times New Roman" w:hAnsi="Times New Roman" w:cs="Times New Roman"/>
            <w:sz w:val="24"/>
            <w:szCs w:val="24"/>
          </w:rPr>
          <w:t xml:space="preserve">                                                                                                                       </w:t>
        </w:r>
        <w:r w:rsidR="00B964A5" w:rsidRPr="00AF197A">
          <w:rPr>
            <w:rFonts w:ascii="Times New Roman" w:hAnsi="Times New Roman" w:cs="Times New Roman"/>
            <w:sz w:val="24"/>
            <w:szCs w:val="24"/>
          </w:rPr>
          <w:fldChar w:fldCharType="begin"/>
        </w:r>
        <w:r w:rsidR="00B964A5" w:rsidRPr="00AF197A">
          <w:rPr>
            <w:rFonts w:ascii="Times New Roman" w:hAnsi="Times New Roman" w:cs="Times New Roman"/>
            <w:sz w:val="24"/>
            <w:szCs w:val="24"/>
          </w:rPr>
          <w:instrText xml:space="preserve"> PAGE   \* MERGEFORMAT </w:instrText>
        </w:r>
        <w:r w:rsidR="00B964A5" w:rsidRPr="00AF197A">
          <w:rPr>
            <w:rFonts w:ascii="Times New Roman" w:hAnsi="Times New Roman" w:cs="Times New Roman"/>
            <w:sz w:val="24"/>
            <w:szCs w:val="24"/>
          </w:rPr>
          <w:fldChar w:fldCharType="separate"/>
        </w:r>
        <w:r w:rsidR="0040085A">
          <w:rPr>
            <w:rFonts w:ascii="Times New Roman" w:hAnsi="Times New Roman" w:cs="Times New Roman"/>
            <w:noProof/>
            <w:sz w:val="24"/>
            <w:szCs w:val="24"/>
          </w:rPr>
          <w:t>2</w:t>
        </w:r>
        <w:r w:rsidR="00B964A5" w:rsidRPr="00AF197A">
          <w:rPr>
            <w:rFonts w:ascii="Times New Roman" w:hAnsi="Times New Roman" w:cs="Times New Roman"/>
            <w:noProof/>
            <w:sz w:val="24"/>
            <w:szCs w:val="24"/>
          </w:rPr>
          <w:fldChar w:fldCharType="end"/>
        </w:r>
      </w:p>
    </w:sdtContent>
  </w:sdt>
  <w:p w:rsidR="007C4827" w:rsidRPr="007C4827" w:rsidRDefault="007C4827" w:rsidP="007C482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762817"/>
      <w:docPartObj>
        <w:docPartGallery w:val="Page Numbers (Top of Page)"/>
        <w:docPartUnique/>
      </w:docPartObj>
    </w:sdtPr>
    <w:sdtEndPr>
      <w:rPr>
        <w:noProof/>
      </w:rPr>
    </w:sdtEndPr>
    <w:sdtContent>
      <w:p w:rsidR="00AF197A" w:rsidRPr="00AF197A" w:rsidRDefault="00AF197A">
        <w:pPr>
          <w:pStyle w:val="Header"/>
          <w:jc w:val="right"/>
          <w:rPr>
            <w:rFonts w:ascii="Times New Roman" w:hAnsi="Times New Roman" w:cs="Times New Roman"/>
            <w:sz w:val="24"/>
            <w:szCs w:val="24"/>
          </w:rPr>
        </w:pPr>
        <w:r w:rsidRPr="00AF197A">
          <w:rPr>
            <w:rFonts w:ascii="Times New Roman" w:hAnsi="Times New Roman" w:cs="Times New Roman"/>
            <w:sz w:val="24"/>
            <w:szCs w:val="24"/>
          </w:rPr>
          <w:t xml:space="preserve">Running Head: </w:t>
        </w:r>
        <w:r w:rsidRPr="00AF197A">
          <w:rPr>
            <w:rFonts w:ascii="Times New Roman" w:hAnsi="Times New Roman" w:cs="Times New Roman"/>
            <w:sz w:val="24"/>
            <w:szCs w:val="24"/>
          </w:rPr>
          <w:t>GENTRIFICATION</w:t>
        </w:r>
        <w:r w:rsidRPr="00AF197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197A">
          <w:rPr>
            <w:rFonts w:ascii="Times New Roman" w:hAnsi="Times New Roman" w:cs="Times New Roman"/>
            <w:sz w:val="24"/>
            <w:szCs w:val="24"/>
          </w:rPr>
          <w:fldChar w:fldCharType="begin"/>
        </w:r>
        <w:r w:rsidRPr="00AF197A">
          <w:rPr>
            <w:rFonts w:ascii="Times New Roman" w:hAnsi="Times New Roman" w:cs="Times New Roman"/>
            <w:sz w:val="24"/>
            <w:szCs w:val="24"/>
          </w:rPr>
          <w:instrText xml:space="preserve"> PAGE   \* MERGEFORMAT </w:instrText>
        </w:r>
        <w:r w:rsidRPr="00AF197A">
          <w:rPr>
            <w:rFonts w:ascii="Times New Roman" w:hAnsi="Times New Roman" w:cs="Times New Roman"/>
            <w:sz w:val="24"/>
            <w:szCs w:val="24"/>
          </w:rPr>
          <w:fldChar w:fldCharType="separate"/>
        </w:r>
        <w:r w:rsidR="0040085A">
          <w:rPr>
            <w:rFonts w:ascii="Times New Roman" w:hAnsi="Times New Roman" w:cs="Times New Roman"/>
            <w:noProof/>
            <w:sz w:val="24"/>
            <w:szCs w:val="24"/>
          </w:rPr>
          <w:t>1</w:t>
        </w:r>
        <w:r w:rsidRPr="00AF197A">
          <w:rPr>
            <w:rFonts w:ascii="Times New Roman" w:hAnsi="Times New Roman" w:cs="Times New Roman"/>
            <w:noProof/>
            <w:sz w:val="24"/>
            <w:szCs w:val="24"/>
          </w:rPr>
          <w:fldChar w:fldCharType="end"/>
        </w:r>
      </w:p>
    </w:sdtContent>
  </w:sdt>
  <w:p w:rsidR="00AF197A" w:rsidRDefault="00AF19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341"/>
    <w:rsid w:val="0000470B"/>
    <w:rsid w:val="00004C57"/>
    <w:rsid w:val="00017E64"/>
    <w:rsid w:val="00023B80"/>
    <w:rsid w:val="00036ECA"/>
    <w:rsid w:val="0006111D"/>
    <w:rsid w:val="00071F3F"/>
    <w:rsid w:val="00082177"/>
    <w:rsid w:val="000B598B"/>
    <w:rsid w:val="000B7CFE"/>
    <w:rsid w:val="000E5074"/>
    <w:rsid w:val="0010093F"/>
    <w:rsid w:val="001200DA"/>
    <w:rsid w:val="00145E79"/>
    <w:rsid w:val="00152FDF"/>
    <w:rsid w:val="00157695"/>
    <w:rsid w:val="00162163"/>
    <w:rsid w:val="0018168C"/>
    <w:rsid w:val="00186B02"/>
    <w:rsid w:val="00192808"/>
    <w:rsid w:val="001E2ACF"/>
    <w:rsid w:val="001F7BBD"/>
    <w:rsid w:val="00202137"/>
    <w:rsid w:val="00212209"/>
    <w:rsid w:val="00223E6C"/>
    <w:rsid w:val="00232629"/>
    <w:rsid w:val="00241810"/>
    <w:rsid w:val="00253701"/>
    <w:rsid w:val="00281952"/>
    <w:rsid w:val="002821C1"/>
    <w:rsid w:val="00285D63"/>
    <w:rsid w:val="002A3DEC"/>
    <w:rsid w:val="002C10C4"/>
    <w:rsid w:val="002E7D0B"/>
    <w:rsid w:val="00320C21"/>
    <w:rsid w:val="00322FA4"/>
    <w:rsid w:val="00347CA5"/>
    <w:rsid w:val="003517F0"/>
    <w:rsid w:val="003520DF"/>
    <w:rsid w:val="00393A17"/>
    <w:rsid w:val="003B067A"/>
    <w:rsid w:val="003E003C"/>
    <w:rsid w:val="003F6742"/>
    <w:rsid w:val="0040085A"/>
    <w:rsid w:val="00412CAC"/>
    <w:rsid w:val="00420D0A"/>
    <w:rsid w:val="0048429D"/>
    <w:rsid w:val="00487ADE"/>
    <w:rsid w:val="005040EB"/>
    <w:rsid w:val="0053090D"/>
    <w:rsid w:val="00545D44"/>
    <w:rsid w:val="00554EA5"/>
    <w:rsid w:val="00560053"/>
    <w:rsid w:val="00591BC4"/>
    <w:rsid w:val="005A06DD"/>
    <w:rsid w:val="005A5304"/>
    <w:rsid w:val="005B6595"/>
    <w:rsid w:val="005B7DDD"/>
    <w:rsid w:val="005D268D"/>
    <w:rsid w:val="005D4806"/>
    <w:rsid w:val="005E02C7"/>
    <w:rsid w:val="005F5EB3"/>
    <w:rsid w:val="00606068"/>
    <w:rsid w:val="00627223"/>
    <w:rsid w:val="00676A7B"/>
    <w:rsid w:val="006A1219"/>
    <w:rsid w:val="006A15A1"/>
    <w:rsid w:val="006A206C"/>
    <w:rsid w:val="006D3AB4"/>
    <w:rsid w:val="006E355D"/>
    <w:rsid w:val="006F6734"/>
    <w:rsid w:val="00702B9A"/>
    <w:rsid w:val="00760D24"/>
    <w:rsid w:val="00761D7F"/>
    <w:rsid w:val="00763C2D"/>
    <w:rsid w:val="00773DA4"/>
    <w:rsid w:val="00780953"/>
    <w:rsid w:val="00792650"/>
    <w:rsid w:val="007B4DF4"/>
    <w:rsid w:val="007C4827"/>
    <w:rsid w:val="007D143B"/>
    <w:rsid w:val="007F0705"/>
    <w:rsid w:val="00801DF2"/>
    <w:rsid w:val="00835C3C"/>
    <w:rsid w:val="00847715"/>
    <w:rsid w:val="00861779"/>
    <w:rsid w:val="008804DA"/>
    <w:rsid w:val="00895C27"/>
    <w:rsid w:val="008B09A1"/>
    <w:rsid w:val="008B6628"/>
    <w:rsid w:val="008C07CC"/>
    <w:rsid w:val="008D1080"/>
    <w:rsid w:val="008E0834"/>
    <w:rsid w:val="008E2746"/>
    <w:rsid w:val="0092778F"/>
    <w:rsid w:val="009747F1"/>
    <w:rsid w:val="009776A8"/>
    <w:rsid w:val="009A7A78"/>
    <w:rsid w:val="009C7E77"/>
    <w:rsid w:val="009D2ABF"/>
    <w:rsid w:val="009E5C10"/>
    <w:rsid w:val="009E7572"/>
    <w:rsid w:val="009F1141"/>
    <w:rsid w:val="009F7CD8"/>
    <w:rsid w:val="00A067E3"/>
    <w:rsid w:val="00A26932"/>
    <w:rsid w:val="00A32399"/>
    <w:rsid w:val="00A47304"/>
    <w:rsid w:val="00A6659B"/>
    <w:rsid w:val="00A807C6"/>
    <w:rsid w:val="00A941FD"/>
    <w:rsid w:val="00AA115D"/>
    <w:rsid w:val="00AC336E"/>
    <w:rsid w:val="00AD17B2"/>
    <w:rsid w:val="00AE6D72"/>
    <w:rsid w:val="00AF197A"/>
    <w:rsid w:val="00AF7EE3"/>
    <w:rsid w:val="00B04725"/>
    <w:rsid w:val="00B31836"/>
    <w:rsid w:val="00B46BE6"/>
    <w:rsid w:val="00B964A5"/>
    <w:rsid w:val="00BF5EE8"/>
    <w:rsid w:val="00C07D40"/>
    <w:rsid w:val="00C31E55"/>
    <w:rsid w:val="00C329AE"/>
    <w:rsid w:val="00C34FB2"/>
    <w:rsid w:val="00C55E59"/>
    <w:rsid w:val="00CA516D"/>
    <w:rsid w:val="00CB3F39"/>
    <w:rsid w:val="00CB58F6"/>
    <w:rsid w:val="00CE7BAF"/>
    <w:rsid w:val="00CF6D0F"/>
    <w:rsid w:val="00D05A0A"/>
    <w:rsid w:val="00D10DD3"/>
    <w:rsid w:val="00D7053E"/>
    <w:rsid w:val="00D94341"/>
    <w:rsid w:val="00DB4211"/>
    <w:rsid w:val="00DC21DC"/>
    <w:rsid w:val="00DC298A"/>
    <w:rsid w:val="00DC4CFA"/>
    <w:rsid w:val="00DD1C2A"/>
    <w:rsid w:val="00DD7386"/>
    <w:rsid w:val="00E173C3"/>
    <w:rsid w:val="00E44C07"/>
    <w:rsid w:val="00E53591"/>
    <w:rsid w:val="00E73EA4"/>
    <w:rsid w:val="00E821E3"/>
    <w:rsid w:val="00EE0F23"/>
    <w:rsid w:val="00EF1E0A"/>
    <w:rsid w:val="00EF605E"/>
    <w:rsid w:val="00F44682"/>
    <w:rsid w:val="00F54512"/>
    <w:rsid w:val="00F6199E"/>
    <w:rsid w:val="00F751EE"/>
    <w:rsid w:val="00FC24EA"/>
    <w:rsid w:val="00FE2189"/>
    <w:rsid w:val="00FE2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17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41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58F6"/>
    <w:rPr>
      <w:color w:val="0000FF"/>
      <w:u w:val="single"/>
    </w:rPr>
  </w:style>
  <w:style w:type="character" w:customStyle="1" w:styleId="u--sr-only">
    <w:name w:val="u--sr-only"/>
    <w:basedOn w:val="DefaultParagraphFont"/>
    <w:rsid w:val="00763C2D"/>
  </w:style>
  <w:style w:type="paragraph" w:styleId="BalloonText">
    <w:name w:val="Balloon Text"/>
    <w:basedOn w:val="Normal"/>
    <w:link w:val="BalloonTextChar"/>
    <w:uiPriority w:val="99"/>
    <w:semiHidden/>
    <w:unhideWhenUsed/>
    <w:rsid w:val="00801D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DF2"/>
    <w:rPr>
      <w:rFonts w:ascii="Tahoma" w:hAnsi="Tahoma" w:cs="Tahoma"/>
      <w:sz w:val="16"/>
      <w:szCs w:val="16"/>
    </w:rPr>
  </w:style>
  <w:style w:type="character" w:customStyle="1" w:styleId="Heading1Char">
    <w:name w:val="Heading 1 Char"/>
    <w:basedOn w:val="DefaultParagraphFont"/>
    <w:link w:val="Heading1"/>
    <w:uiPriority w:val="9"/>
    <w:rsid w:val="00AD17B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D17B2"/>
  </w:style>
  <w:style w:type="paragraph" w:styleId="Header">
    <w:name w:val="header"/>
    <w:basedOn w:val="Normal"/>
    <w:link w:val="HeaderChar"/>
    <w:uiPriority w:val="99"/>
    <w:unhideWhenUsed/>
    <w:rsid w:val="007C4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27"/>
  </w:style>
  <w:style w:type="paragraph" w:styleId="Footer">
    <w:name w:val="footer"/>
    <w:basedOn w:val="Normal"/>
    <w:link w:val="FooterChar"/>
    <w:uiPriority w:val="99"/>
    <w:unhideWhenUsed/>
    <w:rsid w:val="007C4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17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41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58F6"/>
    <w:rPr>
      <w:color w:val="0000FF"/>
      <w:u w:val="single"/>
    </w:rPr>
  </w:style>
  <w:style w:type="character" w:customStyle="1" w:styleId="u--sr-only">
    <w:name w:val="u--sr-only"/>
    <w:basedOn w:val="DefaultParagraphFont"/>
    <w:rsid w:val="00763C2D"/>
  </w:style>
  <w:style w:type="paragraph" w:styleId="BalloonText">
    <w:name w:val="Balloon Text"/>
    <w:basedOn w:val="Normal"/>
    <w:link w:val="BalloonTextChar"/>
    <w:uiPriority w:val="99"/>
    <w:semiHidden/>
    <w:unhideWhenUsed/>
    <w:rsid w:val="00801D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DF2"/>
    <w:rPr>
      <w:rFonts w:ascii="Tahoma" w:hAnsi="Tahoma" w:cs="Tahoma"/>
      <w:sz w:val="16"/>
      <w:szCs w:val="16"/>
    </w:rPr>
  </w:style>
  <w:style w:type="character" w:customStyle="1" w:styleId="Heading1Char">
    <w:name w:val="Heading 1 Char"/>
    <w:basedOn w:val="DefaultParagraphFont"/>
    <w:link w:val="Heading1"/>
    <w:uiPriority w:val="9"/>
    <w:rsid w:val="00AD17B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D17B2"/>
  </w:style>
  <w:style w:type="paragraph" w:styleId="Header">
    <w:name w:val="header"/>
    <w:basedOn w:val="Normal"/>
    <w:link w:val="HeaderChar"/>
    <w:uiPriority w:val="99"/>
    <w:unhideWhenUsed/>
    <w:rsid w:val="007C4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27"/>
  </w:style>
  <w:style w:type="paragraph" w:styleId="Footer">
    <w:name w:val="footer"/>
    <w:basedOn w:val="Normal"/>
    <w:link w:val="FooterChar"/>
    <w:uiPriority w:val="99"/>
    <w:unhideWhenUsed/>
    <w:rsid w:val="007C4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305824">
      <w:bodyDiv w:val="1"/>
      <w:marLeft w:val="0"/>
      <w:marRight w:val="0"/>
      <w:marTop w:val="0"/>
      <w:marBottom w:val="0"/>
      <w:divBdr>
        <w:top w:val="none" w:sz="0" w:space="0" w:color="auto"/>
        <w:left w:val="none" w:sz="0" w:space="0" w:color="auto"/>
        <w:bottom w:val="none" w:sz="0" w:space="0" w:color="auto"/>
        <w:right w:val="none" w:sz="0" w:space="0" w:color="auto"/>
      </w:divBdr>
    </w:div>
    <w:div w:id="163467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JBa17</b:Tag>
    <b:SourceType>JournalArticle</b:SourceType>
    <b:Guid>{87F19C6F-1FC1-4FDA-8D1F-F9EDB8AC06DD}</b:Guid>
    <b:Author>
      <b:Author>
        <b:NameList>
          <b:Person>
            <b:Last>Baars</b:Last>
            <b:First>J.</b:First>
          </b:Person>
        </b:NameList>
      </b:Author>
    </b:Author>
    <b:Title>AGING, SOCIAL INEQUALITY, AND SOCIAL JUSTICE </b:Title>
    <b:JournalName>OXFORD ACADEMIC</b:JournalName>
    <b:Year>2017</b:Year>
    <b:Pages>1-6</b:Pages>
    <b:RefOrder>1</b:RefOrder>
  </b:Source>
  <b:Source>
    <b:Tag>Mar12</b:Tag>
    <b:SourceType>JournalArticle</b:SourceType>
    <b:Guid>{8AC0EC68-CF91-496E-84F3-BF7BB0FEFCD4}</b:Guid>
    <b:Author>
      <b:Author>
        <b:NameList>
          <b:Person>
            <b:Last>Wosinski</b:Last>
            <b:First>Marek</b:First>
          </b:Person>
        </b:NameList>
      </b:Author>
    </b:Author>
    <b:Title>Social Justice and Aging Population</b:Title>
    <b:JournalName>University Community Patnerships for Social Action Research</b:JournalName>
    <b:Year>2012</b:Year>
    <b:Pages>6-10</b:Pages>
    <b:RefOrder>2</b:RefOrder>
  </b:Source>
  <b:Source>
    <b:Tag>MSW16</b:Tag>
    <b:SourceType>JournalArticle</b:SourceType>
    <b:Guid>{247710D8-F88B-4B9A-BAF7-CD2ACDC7E5DC}</b:Guid>
    <b:Title>The Aging Poor: How Social Workers Can Help</b:Title>
    <b:JournalName>USC University of Southern California</b:JournalName>
    <b:Year>2016</b:Year>
    <b:Pages>1-11</b:Pages>
    <b:Author>
      <b:Author>
        <b:NameList>
          <b:Person>
            <b:Last>Staff</b:Last>
            <b:First>MSW@USC</b:First>
          </b:Person>
        </b:NameList>
      </b:Author>
    </b:Author>
    <b:RefOrder>3</b:RefOrder>
  </b:Source>
  <b:Source>
    <b:Tag>Nen17</b:Tag>
    <b:SourceType>JournalArticle</b:SourceType>
    <b:Guid>{EA207607-D4EC-4D86-9868-B3B5F98CD4DB}</b:Guid>
    <b:Author>
      <b:Author>
        <b:NameList>
          <b:Person>
            <b:Last>Panourgiá</b:Last>
            <b:First>Neni</b:First>
          </b:Person>
        </b:NameList>
      </b:Author>
    </b:Author>
    <b:Title>Aging and Social Justice</b:Title>
    <b:JournalName>INSTITUTE FOR COMPARATIVE LITERATURE AND SOCIETY</b:JournalName>
    <b:Year>2017</b:Year>
    <b:RefOrder>4</b:RefOrder>
  </b:Source>
  <b:Source>
    <b:Tag>Lee08</b:Tag>
    <b:SourceType>Book</b:SourceType>
    <b:Guid>{E4FD8640-5B38-421F-8D32-5E7A3191148C}</b:Guid>
    <b:Title>Gentrification</b:Title>
    <b:Year>2008</b:Year>
    <b:Author>
      <b:Author>
        <b:NameList>
          <b:Person>
            <b:Last>Lees</b:Last>
            <b:First>Loretta,</b:First>
            <b:Middle>Tom Slater, and Elvin K. Wyly.</b:Middle>
          </b:Person>
        </b:NameList>
      </b:Author>
    </b:Author>
    <b:City>New York</b:City>
    <b:Publisher>Routledge/Taylor &amp; Francis Group</b:Publisher>
    <b:RefOrder>5</b:RefOrder>
  </b:Source>
</b:Sources>
</file>

<file path=customXml/itemProps1.xml><?xml version="1.0" encoding="utf-8"?>
<ds:datastoreItem xmlns:ds="http://schemas.openxmlformats.org/officeDocument/2006/customXml" ds:itemID="{BAAF43DE-1649-4370-A33A-9E6599054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backyard</dc:creator>
  <cp:lastModifiedBy>vini</cp:lastModifiedBy>
  <cp:revision>2</cp:revision>
  <dcterms:created xsi:type="dcterms:W3CDTF">2018-05-07T18:37:00Z</dcterms:created>
  <dcterms:modified xsi:type="dcterms:W3CDTF">2018-05-07T18:37:00Z</dcterms:modified>
</cp:coreProperties>
</file>