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52A" w:rsidRDefault="0061152A" w:rsidP="00BC7009">
      <w:pPr>
        <w:spacing w:line="480" w:lineRule="auto"/>
        <w:rPr>
          <w:rFonts w:ascii="Times New Roman" w:hAnsi="Times New Roman" w:cs="Times New Roman"/>
          <w:sz w:val="24"/>
          <w:szCs w:val="24"/>
        </w:rPr>
      </w:pPr>
    </w:p>
    <w:p w:rsidR="0069314F" w:rsidRDefault="0069314F" w:rsidP="00BC7009">
      <w:pPr>
        <w:spacing w:line="480" w:lineRule="auto"/>
        <w:rPr>
          <w:rFonts w:ascii="Times New Roman" w:hAnsi="Times New Roman" w:cs="Times New Roman"/>
          <w:sz w:val="24"/>
          <w:szCs w:val="24"/>
        </w:rPr>
      </w:pPr>
    </w:p>
    <w:p w:rsidR="0069314F" w:rsidRDefault="0069314F" w:rsidP="00404638">
      <w:pPr>
        <w:spacing w:line="480" w:lineRule="auto"/>
        <w:jc w:val="center"/>
        <w:rPr>
          <w:rFonts w:ascii="Times New Roman" w:hAnsi="Times New Roman" w:cs="Times New Roman"/>
          <w:sz w:val="24"/>
          <w:szCs w:val="24"/>
        </w:rPr>
      </w:pPr>
      <w:r>
        <w:rPr>
          <w:rFonts w:ascii="Times New Roman" w:hAnsi="Times New Roman" w:cs="Times New Roman"/>
          <w:sz w:val="24"/>
          <w:szCs w:val="24"/>
        </w:rPr>
        <w:t>Topic: Georgia</w:t>
      </w:r>
      <w:r w:rsidR="00404638">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00404638">
        <w:rPr>
          <w:rFonts w:ascii="Times New Roman" w:hAnsi="Times New Roman" w:cs="Times New Roman"/>
          <w:sz w:val="24"/>
          <w:szCs w:val="24"/>
        </w:rPr>
        <w:t>town’s census</w:t>
      </w:r>
      <w:r>
        <w:rPr>
          <w:rFonts w:ascii="Times New Roman" w:hAnsi="Times New Roman" w:cs="Times New Roman"/>
          <w:sz w:val="24"/>
          <w:szCs w:val="24"/>
        </w:rPr>
        <w:t xml:space="preserve"> </w:t>
      </w:r>
      <w:r w:rsidR="00404638">
        <w:rPr>
          <w:rFonts w:ascii="Times New Roman" w:hAnsi="Times New Roman" w:cs="Times New Roman"/>
          <w:sz w:val="24"/>
          <w:szCs w:val="24"/>
        </w:rPr>
        <w:t>data analysis</w:t>
      </w:r>
    </w:p>
    <w:p w:rsidR="00404638" w:rsidRDefault="00404638" w:rsidP="00404638">
      <w:pPr>
        <w:spacing w:line="480" w:lineRule="auto"/>
        <w:jc w:val="center"/>
        <w:rPr>
          <w:rFonts w:ascii="Times New Roman" w:hAnsi="Times New Roman" w:cs="Times New Roman"/>
          <w:sz w:val="24"/>
          <w:szCs w:val="24"/>
        </w:rPr>
      </w:pPr>
    </w:p>
    <w:p w:rsidR="00404638" w:rsidRDefault="00404638" w:rsidP="00404638">
      <w:pPr>
        <w:spacing w:line="480" w:lineRule="auto"/>
        <w:jc w:val="center"/>
        <w:rPr>
          <w:rFonts w:ascii="Times New Roman" w:hAnsi="Times New Roman" w:cs="Times New Roman"/>
          <w:sz w:val="24"/>
          <w:szCs w:val="24"/>
        </w:rPr>
      </w:pPr>
    </w:p>
    <w:p w:rsidR="00404638" w:rsidRDefault="00404638" w:rsidP="00404638">
      <w:pPr>
        <w:spacing w:line="480" w:lineRule="auto"/>
        <w:jc w:val="center"/>
        <w:rPr>
          <w:rFonts w:ascii="Times New Roman" w:hAnsi="Times New Roman" w:cs="Times New Roman"/>
          <w:sz w:val="24"/>
          <w:szCs w:val="24"/>
        </w:rPr>
      </w:pPr>
    </w:p>
    <w:p w:rsidR="00404638" w:rsidRDefault="00404638" w:rsidP="0040463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04638" w:rsidRDefault="00404638" w:rsidP="00404638">
      <w:pPr>
        <w:spacing w:line="480" w:lineRule="auto"/>
        <w:jc w:val="center"/>
        <w:rPr>
          <w:rFonts w:ascii="Times New Roman" w:hAnsi="Times New Roman" w:cs="Times New Roman"/>
          <w:sz w:val="24"/>
          <w:szCs w:val="24"/>
        </w:rPr>
      </w:pPr>
      <w:r>
        <w:rPr>
          <w:rFonts w:ascii="Times New Roman" w:hAnsi="Times New Roman" w:cs="Times New Roman"/>
          <w:sz w:val="24"/>
          <w:szCs w:val="24"/>
        </w:rPr>
        <w:t>Registration Number</w:t>
      </w:r>
    </w:p>
    <w:p w:rsidR="00404638" w:rsidRDefault="00404638" w:rsidP="0040463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404638" w:rsidRDefault="00404638" w:rsidP="0040463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404638" w:rsidRDefault="00404638" w:rsidP="004046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04638" w:rsidRDefault="00404638" w:rsidP="00404638">
      <w:pPr>
        <w:spacing w:line="480" w:lineRule="auto"/>
        <w:jc w:val="center"/>
        <w:rPr>
          <w:rFonts w:ascii="Times New Roman" w:hAnsi="Times New Roman" w:cs="Times New Roman"/>
          <w:sz w:val="24"/>
          <w:szCs w:val="24"/>
        </w:rPr>
      </w:pPr>
    </w:p>
    <w:p w:rsidR="00404638" w:rsidRDefault="00404638" w:rsidP="00404638">
      <w:pPr>
        <w:spacing w:line="480" w:lineRule="auto"/>
        <w:jc w:val="center"/>
        <w:rPr>
          <w:rFonts w:ascii="Times New Roman" w:hAnsi="Times New Roman" w:cs="Times New Roman"/>
          <w:sz w:val="24"/>
          <w:szCs w:val="24"/>
        </w:rPr>
      </w:pPr>
    </w:p>
    <w:p w:rsidR="00404638" w:rsidRDefault="00404638" w:rsidP="00404638">
      <w:pPr>
        <w:spacing w:line="480" w:lineRule="auto"/>
        <w:jc w:val="center"/>
        <w:rPr>
          <w:rFonts w:ascii="Times New Roman" w:hAnsi="Times New Roman" w:cs="Times New Roman"/>
          <w:sz w:val="24"/>
          <w:szCs w:val="24"/>
        </w:rPr>
      </w:pPr>
    </w:p>
    <w:p w:rsidR="00404638" w:rsidRDefault="00404638" w:rsidP="00404638">
      <w:pPr>
        <w:spacing w:line="480" w:lineRule="auto"/>
        <w:jc w:val="center"/>
        <w:rPr>
          <w:rFonts w:ascii="Times New Roman" w:hAnsi="Times New Roman" w:cs="Times New Roman"/>
          <w:sz w:val="24"/>
          <w:szCs w:val="24"/>
        </w:rPr>
      </w:pPr>
    </w:p>
    <w:p w:rsidR="00404638" w:rsidRPr="00BC7009" w:rsidRDefault="00404638" w:rsidP="00BC7009">
      <w:pPr>
        <w:spacing w:line="480" w:lineRule="auto"/>
        <w:rPr>
          <w:rFonts w:ascii="Times New Roman" w:hAnsi="Times New Roman" w:cs="Times New Roman"/>
          <w:sz w:val="24"/>
          <w:szCs w:val="24"/>
        </w:rPr>
      </w:pPr>
    </w:p>
    <w:p w:rsidR="0069314F" w:rsidRDefault="0069314F" w:rsidP="00BC7009">
      <w:pPr>
        <w:spacing w:line="480" w:lineRule="auto"/>
        <w:rPr>
          <w:rFonts w:ascii="Times New Roman" w:hAnsi="Times New Roman" w:cs="Times New Roman"/>
          <w:b/>
          <w:sz w:val="24"/>
          <w:szCs w:val="24"/>
        </w:rPr>
      </w:pPr>
    </w:p>
    <w:p w:rsidR="007210A9" w:rsidRPr="00BC7009" w:rsidRDefault="007210A9"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lastRenderedPageBreak/>
        <w:t>Dataset Description</w:t>
      </w:r>
    </w:p>
    <w:p w:rsidR="007210A9" w:rsidRPr="00BC7009" w:rsidRDefault="00A739AA" w:rsidP="00BC7009">
      <w:pPr>
        <w:spacing w:line="480" w:lineRule="auto"/>
        <w:rPr>
          <w:rFonts w:ascii="Times New Roman" w:hAnsi="Times New Roman" w:cs="Times New Roman"/>
          <w:sz w:val="24"/>
          <w:szCs w:val="24"/>
        </w:rPr>
      </w:pPr>
      <w:r w:rsidRPr="00BC7009">
        <w:rPr>
          <w:rFonts w:ascii="Times New Roman" w:hAnsi="Times New Roman" w:cs="Times New Roman"/>
          <w:sz w:val="24"/>
          <w:szCs w:val="24"/>
        </w:rPr>
        <w:t>The dataset contains population under 65 years of and population under 19 years of age of all towns in Georgia.</w:t>
      </w:r>
      <w:r w:rsidR="00BC7009" w:rsidRPr="00BC7009">
        <w:rPr>
          <w:rFonts w:ascii="Times New Roman" w:hAnsi="Times New Roman" w:cs="Times New Roman"/>
          <w:sz w:val="24"/>
          <w:szCs w:val="24"/>
        </w:rPr>
        <w:t xml:space="preserve"> Georgia has several towns which make up the state of Georgia. The </w:t>
      </w:r>
      <w:r w:rsidR="00BC7009">
        <w:rPr>
          <w:rFonts w:ascii="Times New Roman" w:hAnsi="Times New Roman" w:cs="Times New Roman"/>
          <w:sz w:val="24"/>
          <w:szCs w:val="24"/>
        </w:rPr>
        <w:t xml:space="preserve">population distribution of towns in Georgia depends on the economic activity available and other social factors. </w:t>
      </w:r>
      <w:r w:rsidR="001232EE">
        <w:rPr>
          <w:rFonts w:ascii="Times New Roman" w:hAnsi="Times New Roman" w:cs="Times New Roman"/>
          <w:sz w:val="24"/>
          <w:szCs w:val="24"/>
        </w:rPr>
        <w:t>Economic activities provide</w:t>
      </w:r>
      <w:r w:rsidR="00BC7009">
        <w:rPr>
          <w:rFonts w:ascii="Times New Roman" w:hAnsi="Times New Roman" w:cs="Times New Roman"/>
          <w:sz w:val="24"/>
          <w:szCs w:val="24"/>
        </w:rPr>
        <w:t xml:space="preserve"> jobs to the population which acts as an attracting feature for the population to settle in Georgia. </w:t>
      </w:r>
      <w:r w:rsidR="001232EE">
        <w:rPr>
          <w:rFonts w:ascii="Times New Roman" w:hAnsi="Times New Roman" w:cs="Times New Roman"/>
          <w:sz w:val="24"/>
          <w:szCs w:val="24"/>
        </w:rPr>
        <w:t xml:space="preserve">Social factors provide better quality of life for the population. The </w:t>
      </w:r>
      <w:r w:rsidR="00CC3EC7">
        <w:rPr>
          <w:rFonts w:ascii="Times New Roman" w:hAnsi="Times New Roman" w:cs="Times New Roman"/>
          <w:sz w:val="24"/>
          <w:szCs w:val="24"/>
        </w:rPr>
        <w:t xml:space="preserve">dataset is from the 2010 census conducted by the US Census Bureau which is mandated to count the total population living in a given geographical location. </w:t>
      </w:r>
    </w:p>
    <w:p w:rsidR="007210A9" w:rsidRPr="00BC7009" w:rsidRDefault="007210A9"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t>Analysis</w:t>
      </w:r>
    </w:p>
    <w:tbl>
      <w:tblPr>
        <w:tblStyle w:val="LightGrid-Accent2"/>
        <w:tblW w:w="8388" w:type="dxa"/>
        <w:tblLook w:val="04A0"/>
      </w:tblPr>
      <w:tblGrid>
        <w:gridCol w:w="1920"/>
        <w:gridCol w:w="3408"/>
        <w:gridCol w:w="3060"/>
      </w:tblGrid>
      <w:tr w:rsidR="00A8034C" w:rsidRPr="00BC7009" w:rsidTr="00A8034C">
        <w:trPr>
          <w:cnfStyle w:val="100000000000"/>
          <w:trHeight w:val="255"/>
        </w:trPr>
        <w:tc>
          <w:tcPr>
            <w:cnfStyle w:val="001000000000"/>
            <w:tcW w:w="1920" w:type="dxa"/>
            <w:noWrap/>
            <w:hideMark/>
          </w:tcPr>
          <w:p w:rsidR="00A8034C" w:rsidRPr="00311D24" w:rsidRDefault="00A8034C" w:rsidP="00BC7009">
            <w:pPr>
              <w:spacing w:line="480" w:lineRule="auto"/>
              <w:rPr>
                <w:rFonts w:ascii="Times New Roman" w:eastAsia="Times New Roman" w:hAnsi="Times New Roman" w:cs="Times New Roman"/>
                <w:bCs w:val="0"/>
                <w:color w:val="548DD4" w:themeColor="text2" w:themeTint="99"/>
                <w:sz w:val="24"/>
                <w:szCs w:val="24"/>
              </w:rPr>
            </w:pPr>
            <w:r w:rsidRPr="00311D24">
              <w:rPr>
                <w:rFonts w:ascii="Times New Roman" w:eastAsia="Times New Roman" w:hAnsi="Times New Roman" w:cs="Times New Roman"/>
                <w:bCs w:val="0"/>
                <w:color w:val="548DD4" w:themeColor="text2" w:themeTint="99"/>
                <w:sz w:val="24"/>
                <w:szCs w:val="24"/>
              </w:rPr>
              <w:t>Action</w:t>
            </w:r>
          </w:p>
        </w:tc>
        <w:tc>
          <w:tcPr>
            <w:tcW w:w="3408" w:type="dxa"/>
            <w:noWrap/>
            <w:hideMark/>
          </w:tcPr>
          <w:p w:rsidR="00A8034C" w:rsidRPr="00311D24" w:rsidRDefault="00A8034C" w:rsidP="00BC7009">
            <w:pPr>
              <w:spacing w:line="480" w:lineRule="auto"/>
              <w:jc w:val="right"/>
              <w:cnfStyle w:val="100000000000"/>
              <w:rPr>
                <w:rFonts w:ascii="Times New Roman" w:eastAsia="Times New Roman" w:hAnsi="Times New Roman" w:cs="Times New Roman"/>
                <w:color w:val="548DD4" w:themeColor="text2" w:themeTint="99"/>
                <w:sz w:val="24"/>
                <w:szCs w:val="24"/>
              </w:rPr>
            </w:pPr>
            <w:r w:rsidRPr="00311D24">
              <w:rPr>
                <w:rFonts w:ascii="Times New Roman" w:hAnsi="Times New Roman" w:cs="Times New Roman"/>
                <w:color w:val="548DD4" w:themeColor="text2" w:themeTint="99"/>
                <w:sz w:val="24"/>
                <w:szCs w:val="24"/>
              </w:rPr>
              <w:t>population under 65 years</w:t>
            </w:r>
          </w:p>
        </w:tc>
        <w:tc>
          <w:tcPr>
            <w:tcW w:w="3060" w:type="dxa"/>
            <w:noWrap/>
            <w:hideMark/>
          </w:tcPr>
          <w:p w:rsidR="00A8034C" w:rsidRPr="00311D24" w:rsidRDefault="00A8034C" w:rsidP="00BC7009">
            <w:pPr>
              <w:spacing w:line="480" w:lineRule="auto"/>
              <w:jc w:val="right"/>
              <w:cnfStyle w:val="100000000000"/>
              <w:rPr>
                <w:rFonts w:ascii="Times New Roman" w:eastAsia="Times New Roman" w:hAnsi="Times New Roman" w:cs="Times New Roman"/>
                <w:color w:val="548DD4" w:themeColor="text2" w:themeTint="99"/>
                <w:sz w:val="24"/>
                <w:szCs w:val="24"/>
              </w:rPr>
            </w:pPr>
            <w:r w:rsidRPr="00311D24">
              <w:rPr>
                <w:rFonts w:ascii="Times New Roman" w:hAnsi="Times New Roman" w:cs="Times New Roman"/>
                <w:color w:val="548DD4" w:themeColor="text2" w:themeTint="99"/>
                <w:sz w:val="24"/>
                <w:szCs w:val="24"/>
              </w:rPr>
              <w:t>population under 19 years</w:t>
            </w:r>
          </w:p>
        </w:tc>
      </w:tr>
      <w:tr w:rsidR="00DF6797" w:rsidRPr="00BC7009" w:rsidTr="00A8034C">
        <w:trPr>
          <w:cnfStyle w:val="000000100000"/>
          <w:trHeight w:val="255"/>
        </w:trPr>
        <w:tc>
          <w:tcPr>
            <w:cnfStyle w:val="001000000000"/>
            <w:tcW w:w="1920" w:type="dxa"/>
            <w:noWrap/>
            <w:hideMark/>
          </w:tcPr>
          <w:p w:rsidR="00DF6797" w:rsidRPr="00DF6797" w:rsidRDefault="00DF6797" w:rsidP="00BC7009">
            <w:pPr>
              <w:spacing w:line="480" w:lineRule="auto"/>
              <w:rPr>
                <w:rFonts w:ascii="Times New Roman" w:eastAsia="Times New Roman" w:hAnsi="Times New Roman" w:cs="Times New Roman"/>
                <w:b w:val="0"/>
                <w:color w:val="000000" w:themeColor="text1"/>
                <w:sz w:val="24"/>
                <w:szCs w:val="24"/>
              </w:rPr>
            </w:pPr>
            <w:r w:rsidRPr="00DF6797">
              <w:rPr>
                <w:rFonts w:ascii="Times New Roman" w:eastAsia="Times New Roman" w:hAnsi="Times New Roman" w:cs="Times New Roman"/>
                <w:b w:val="0"/>
                <w:color w:val="000000" w:themeColor="text1"/>
                <w:sz w:val="24"/>
                <w:szCs w:val="24"/>
              </w:rPr>
              <w:t>Sum</w:t>
            </w:r>
          </w:p>
        </w:tc>
        <w:tc>
          <w:tcPr>
            <w:tcW w:w="3408" w:type="dxa"/>
            <w:noWrap/>
            <w:hideMark/>
          </w:tcPr>
          <w:p w:rsidR="00DF6797" w:rsidRPr="00DF6797" w:rsidRDefault="00DF6797" w:rsidP="00BC7009">
            <w:pPr>
              <w:spacing w:line="480" w:lineRule="auto"/>
              <w:jc w:val="right"/>
              <w:cnfStyle w:val="00000010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1,848,502</w:t>
            </w:r>
          </w:p>
        </w:tc>
        <w:tc>
          <w:tcPr>
            <w:tcW w:w="3060" w:type="dxa"/>
            <w:noWrap/>
            <w:hideMark/>
          </w:tcPr>
          <w:p w:rsidR="00DF6797" w:rsidRPr="00DF6797" w:rsidRDefault="00DF6797" w:rsidP="00BC7009">
            <w:pPr>
              <w:spacing w:line="480" w:lineRule="auto"/>
              <w:jc w:val="right"/>
              <w:cnfStyle w:val="00000010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266,834</w:t>
            </w:r>
          </w:p>
        </w:tc>
      </w:tr>
      <w:tr w:rsidR="00DF6797" w:rsidRPr="00BC7009" w:rsidTr="00A8034C">
        <w:trPr>
          <w:cnfStyle w:val="000000010000"/>
          <w:trHeight w:val="255"/>
        </w:trPr>
        <w:tc>
          <w:tcPr>
            <w:cnfStyle w:val="001000000000"/>
            <w:tcW w:w="1920" w:type="dxa"/>
            <w:noWrap/>
            <w:hideMark/>
          </w:tcPr>
          <w:p w:rsidR="00DF6797" w:rsidRPr="00DF6797" w:rsidRDefault="00DF6797" w:rsidP="00BC7009">
            <w:pPr>
              <w:spacing w:line="480" w:lineRule="auto"/>
              <w:rPr>
                <w:rFonts w:ascii="Times New Roman" w:eastAsia="Times New Roman" w:hAnsi="Times New Roman" w:cs="Times New Roman"/>
                <w:b w:val="0"/>
                <w:color w:val="000000" w:themeColor="text1"/>
                <w:sz w:val="24"/>
                <w:szCs w:val="24"/>
              </w:rPr>
            </w:pPr>
            <w:r w:rsidRPr="00DF6797">
              <w:rPr>
                <w:rFonts w:ascii="Times New Roman" w:eastAsia="Times New Roman" w:hAnsi="Times New Roman" w:cs="Times New Roman"/>
                <w:b w:val="0"/>
                <w:color w:val="000000" w:themeColor="text1"/>
                <w:sz w:val="24"/>
                <w:szCs w:val="24"/>
              </w:rPr>
              <w:t>Averages</w:t>
            </w:r>
          </w:p>
        </w:tc>
        <w:tc>
          <w:tcPr>
            <w:tcW w:w="3408" w:type="dxa"/>
            <w:noWrap/>
            <w:hideMark/>
          </w:tcPr>
          <w:p w:rsidR="00DF6797" w:rsidRPr="00DF6797" w:rsidRDefault="00DF6797" w:rsidP="00BC7009">
            <w:pPr>
              <w:spacing w:line="480" w:lineRule="auto"/>
              <w:jc w:val="right"/>
              <w:cnfStyle w:val="00000001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11,626</w:t>
            </w:r>
          </w:p>
        </w:tc>
        <w:tc>
          <w:tcPr>
            <w:tcW w:w="3060" w:type="dxa"/>
            <w:noWrap/>
            <w:hideMark/>
          </w:tcPr>
          <w:p w:rsidR="00DF6797" w:rsidRPr="00DF6797" w:rsidRDefault="00DF6797" w:rsidP="00BC7009">
            <w:pPr>
              <w:spacing w:line="480" w:lineRule="auto"/>
              <w:jc w:val="right"/>
              <w:cnfStyle w:val="00000001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1,678</w:t>
            </w:r>
          </w:p>
        </w:tc>
      </w:tr>
      <w:tr w:rsidR="00DF6797" w:rsidRPr="00BC7009" w:rsidTr="00A8034C">
        <w:trPr>
          <w:cnfStyle w:val="000000100000"/>
          <w:trHeight w:val="255"/>
        </w:trPr>
        <w:tc>
          <w:tcPr>
            <w:cnfStyle w:val="001000000000"/>
            <w:tcW w:w="1920" w:type="dxa"/>
            <w:noWrap/>
            <w:hideMark/>
          </w:tcPr>
          <w:p w:rsidR="00DF6797" w:rsidRPr="00DF6797" w:rsidRDefault="00DF6797" w:rsidP="00BC7009">
            <w:pPr>
              <w:spacing w:line="480" w:lineRule="auto"/>
              <w:rPr>
                <w:rFonts w:ascii="Times New Roman" w:eastAsia="Times New Roman" w:hAnsi="Times New Roman" w:cs="Times New Roman"/>
                <w:b w:val="0"/>
                <w:color w:val="000000" w:themeColor="text1"/>
                <w:sz w:val="24"/>
                <w:szCs w:val="24"/>
              </w:rPr>
            </w:pPr>
            <w:r w:rsidRPr="00DF6797">
              <w:rPr>
                <w:rFonts w:ascii="Times New Roman" w:eastAsia="Times New Roman" w:hAnsi="Times New Roman" w:cs="Times New Roman"/>
                <w:b w:val="0"/>
                <w:color w:val="000000" w:themeColor="text1"/>
                <w:sz w:val="24"/>
                <w:szCs w:val="24"/>
              </w:rPr>
              <w:t xml:space="preserve">Variance </w:t>
            </w:r>
          </w:p>
        </w:tc>
        <w:tc>
          <w:tcPr>
            <w:tcW w:w="3408" w:type="dxa"/>
            <w:noWrap/>
            <w:hideMark/>
          </w:tcPr>
          <w:p w:rsidR="00DF6797" w:rsidRPr="00DF6797" w:rsidRDefault="00DF6797" w:rsidP="00BC7009">
            <w:pPr>
              <w:spacing w:line="480" w:lineRule="auto"/>
              <w:jc w:val="right"/>
              <w:cnfStyle w:val="00000010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700345187.3</w:t>
            </w:r>
          </w:p>
        </w:tc>
        <w:tc>
          <w:tcPr>
            <w:tcW w:w="3060" w:type="dxa"/>
            <w:noWrap/>
            <w:hideMark/>
          </w:tcPr>
          <w:p w:rsidR="00DF6797" w:rsidRPr="00DF6797" w:rsidRDefault="00DF6797" w:rsidP="00BC7009">
            <w:pPr>
              <w:spacing w:line="480" w:lineRule="auto"/>
              <w:jc w:val="right"/>
              <w:cnfStyle w:val="00000010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15579798.57</w:t>
            </w:r>
          </w:p>
        </w:tc>
      </w:tr>
      <w:tr w:rsidR="00DF6797" w:rsidRPr="00BC7009" w:rsidTr="00A8034C">
        <w:trPr>
          <w:cnfStyle w:val="000000010000"/>
          <w:trHeight w:val="255"/>
        </w:trPr>
        <w:tc>
          <w:tcPr>
            <w:cnfStyle w:val="001000000000"/>
            <w:tcW w:w="1920" w:type="dxa"/>
            <w:noWrap/>
            <w:hideMark/>
          </w:tcPr>
          <w:p w:rsidR="00DF6797" w:rsidRPr="00DF6797" w:rsidRDefault="00DF6797" w:rsidP="00BC7009">
            <w:pPr>
              <w:spacing w:line="480" w:lineRule="auto"/>
              <w:rPr>
                <w:rFonts w:ascii="Times New Roman" w:eastAsia="Times New Roman" w:hAnsi="Times New Roman" w:cs="Times New Roman"/>
                <w:b w:val="0"/>
                <w:color w:val="000000" w:themeColor="text1"/>
                <w:sz w:val="24"/>
                <w:szCs w:val="24"/>
              </w:rPr>
            </w:pPr>
            <w:r w:rsidRPr="00DF6797">
              <w:rPr>
                <w:rFonts w:ascii="Times New Roman" w:eastAsia="Times New Roman" w:hAnsi="Times New Roman" w:cs="Times New Roman"/>
                <w:b w:val="0"/>
                <w:color w:val="000000" w:themeColor="text1"/>
                <w:sz w:val="24"/>
                <w:szCs w:val="24"/>
              </w:rPr>
              <w:t>Standard Deviation</w:t>
            </w:r>
          </w:p>
        </w:tc>
        <w:tc>
          <w:tcPr>
            <w:tcW w:w="3408" w:type="dxa"/>
            <w:noWrap/>
            <w:hideMark/>
          </w:tcPr>
          <w:p w:rsidR="00DF6797" w:rsidRPr="00DF6797" w:rsidRDefault="00DF6797" w:rsidP="00BC7009">
            <w:pPr>
              <w:spacing w:line="480" w:lineRule="auto"/>
              <w:jc w:val="right"/>
              <w:cnfStyle w:val="00000001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26464.03573</w:t>
            </w:r>
          </w:p>
        </w:tc>
        <w:tc>
          <w:tcPr>
            <w:tcW w:w="3060" w:type="dxa"/>
            <w:noWrap/>
            <w:hideMark/>
          </w:tcPr>
          <w:p w:rsidR="00DF6797" w:rsidRPr="00DF6797" w:rsidRDefault="00DF6797" w:rsidP="00BC7009">
            <w:pPr>
              <w:spacing w:line="480" w:lineRule="auto"/>
              <w:jc w:val="right"/>
              <w:cnfStyle w:val="000000010000"/>
              <w:rPr>
                <w:rFonts w:ascii="Times New Roman" w:eastAsia="Times New Roman" w:hAnsi="Times New Roman" w:cs="Times New Roman"/>
                <w:color w:val="000000"/>
                <w:sz w:val="24"/>
                <w:szCs w:val="24"/>
              </w:rPr>
            </w:pPr>
            <w:r w:rsidRPr="00DF6797">
              <w:rPr>
                <w:rFonts w:ascii="Times New Roman" w:eastAsia="Times New Roman" w:hAnsi="Times New Roman" w:cs="Times New Roman"/>
                <w:color w:val="000000"/>
                <w:sz w:val="24"/>
                <w:szCs w:val="24"/>
              </w:rPr>
              <w:t>3947.125355</w:t>
            </w:r>
          </w:p>
        </w:tc>
      </w:tr>
    </w:tbl>
    <w:p w:rsidR="007210A9" w:rsidRDefault="007210A9" w:rsidP="00BC7009">
      <w:pPr>
        <w:spacing w:line="480" w:lineRule="auto"/>
        <w:rPr>
          <w:rFonts w:ascii="Times New Roman" w:hAnsi="Times New Roman" w:cs="Times New Roman"/>
          <w:sz w:val="24"/>
          <w:szCs w:val="24"/>
        </w:rPr>
      </w:pPr>
    </w:p>
    <w:p w:rsidR="00DA7907" w:rsidRDefault="00DA7907" w:rsidP="00BC700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total number of the population under 65 years is 1,848,502 individuals in Georgia State. The total number of the population with age below 19 years is 266,834. This shows that majority of the population is below the age of 65 in Georgia as compared to </w:t>
      </w:r>
      <w:r w:rsidR="00673B59">
        <w:rPr>
          <w:rFonts w:ascii="Times New Roman" w:hAnsi="Times New Roman" w:cs="Times New Roman"/>
          <w:sz w:val="24"/>
          <w:szCs w:val="24"/>
        </w:rPr>
        <w:t>the population with age below 19 years who are fewer.</w:t>
      </w:r>
    </w:p>
    <w:p w:rsidR="00A8034C" w:rsidRDefault="0036291B" w:rsidP="00BC70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average population for each town for the population under 65 years is 11,626 while the average population for the population under 19 years in Georgia towns is 1,678. </w:t>
      </w:r>
    </w:p>
    <w:p w:rsidR="00E92C8F" w:rsidRDefault="00E92C8F" w:rsidP="00BC7009">
      <w:pPr>
        <w:spacing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The variance population is Georgia towns for population under 65 years data is </w:t>
      </w:r>
      <w:r w:rsidR="000604B5" w:rsidRPr="00DF6797">
        <w:rPr>
          <w:rFonts w:ascii="Times New Roman" w:eastAsia="Times New Roman" w:hAnsi="Times New Roman" w:cs="Times New Roman"/>
          <w:color w:val="000000"/>
          <w:sz w:val="24"/>
          <w:szCs w:val="24"/>
        </w:rPr>
        <w:t>700345187.3</w:t>
      </w:r>
      <w:r w:rsidR="000604B5">
        <w:rPr>
          <w:rFonts w:ascii="Times New Roman" w:eastAsia="Times New Roman" w:hAnsi="Times New Roman" w:cs="Times New Roman"/>
          <w:color w:val="000000"/>
          <w:sz w:val="24"/>
          <w:szCs w:val="24"/>
        </w:rPr>
        <w:t xml:space="preserve"> while the variance population for </w:t>
      </w:r>
      <w:r w:rsidR="000604B5">
        <w:rPr>
          <w:rFonts w:ascii="Times New Roman" w:hAnsi="Times New Roman" w:cs="Times New Roman"/>
          <w:sz w:val="24"/>
          <w:szCs w:val="24"/>
        </w:rPr>
        <w:t xml:space="preserve">population under 19 years is </w:t>
      </w:r>
      <w:r w:rsidR="00225A25" w:rsidRPr="00DF6797">
        <w:rPr>
          <w:rFonts w:ascii="Times New Roman" w:eastAsia="Times New Roman" w:hAnsi="Times New Roman" w:cs="Times New Roman"/>
          <w:color w:val="000000"/>
          <w:sz w:val="24"/>
          <w:szCs w:val="24"/>
        </w:rPr>
        <w:t>15579798.57</w:t>
      </w:r>
      <w:r w:rsidR="00225A25">
        <w:rPr>
          <w:rFonts w:ascii="Times New Roman" w:eastAsia="Times New Roman" w:hAnsi="Times New Roman" w:cs="Times New Roman"/>
          <w:color w:val="000000"/>
          <w:sz w:val="24"/>
          <w:szCs w:val="24"/>
        </w:rPr>
        <w:t>.</w:t>
      </w:r>
    </w:p>
    <w:p w:rsidR="00225A25" w:rsidRPr="00BC7009" w:rsidRDefault="00225A25" w:rsidP="00BC7009">
      <w:pPr>
        <w:spacing w:line="48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The standard deviation for the population of </w:t>
      </w:r>
      <w:r w:rsidR="00403C10">
        <w:rPr>
          <w:rFonts w:ascii="Times New Roman" w:eastAsia="Times New Roman" w:hAnsi="Times New Roman" w:cs="Times New Roman"/>
          <w:color w:val="000000"/>
          <w:sz w:val="24"/>
          <w:szCs w:val="24"/>
        </w:rPr>
        <w:t>under</w:t>
      </w:r>
      <w:r>
        <w:rPr>
          <w:rFonts w:ascii="Times New Roman" w:eastAsia="Times New Roman" w:hAnsi="Times New Roman" w:cs="Times New Roman"/>
          <w:color w:val="000000"/>
          <w:sz w:val="24"/>
          <w:szCs w:val="24"/>
        </w:rPr>
        <w:t xml:space="preserve"> 65</w:t>
      </w:r>
      <w:r w:rsidR="00403C10">
        <w:rPr>
          <w:rFonts w:ascii="Times New Roman" w:eastAsia="Times New Roman" w:hAnsi="Times New Roman" w:cs="Times New Roman"/>
          <w:color w:val="000000"/>
          <w:sz w:val="24"/>
          <w:szCs w:val="24"/>
        </w:rPr>
        <w:t xml:space="preserve"> years</w:t>
      </w:r>
      <w:r>
        <w:rPr>
          <w:rFonts w:ascii="Times New Roman" w:eastAsia="Times New Roman" w:hAnsi="Times New Roman" w:cs="Times New Roman"/>
          <w:color w:val="000000"/>
          <w:sz w:val="24"/>
          <w:szCs w:val="24"/>
        </w:rPr>
        <w:t xml:space="preserve"> in Georgia towns is </w:t>
      </w:r>
      <w:r w:rsidR="001A44FF" w:rsidRPr="00DF6797">
        <w:rPr>
          <w:rFonts w:ascii="Times New Roman" w:eastAsia="Times New Roman" w:hAnsi="Times New Roman" w:cs="Times New Roman"/>
          <w:color w:val="000000"/>
          <w:sz w:val="24"/>
          <w:szCs w:val="24"/>
        </w:rPr>
        <w:t>26464.03573</w:t>
      </w:r>
      <w:r w:rsidR="001A44FF">
        <w:rPr>
          <w:rFonts w:ascii="Times New Roman" w:eastAsia="Times New Roman" w:hAnsi="Times New Roman" w:cs="Times New Roman"/>
          <w:color w:val="000000"/>
          <w:sz w:val="24"/>
          <w:szCs w:val="24"/>
        </w:rPr>
        <w:t xml:space="preserve"> while that for the population with under 19 years is </w:t>
      </w:r>
      <w:r w:rsidR="00166C9F" w:rsidRPr="00DF6797">
        <w:rPr>
          <w:rFonts w:ascii="Times New Roman" w:eastAsia="Times New Roman" w:hAnsi="Times New Roman" w:cs="Times New Roman"/>
          <w:color w:val="000000"/>
          <w:sz w:val="24"/>
          <w:szCs w:val="24"/>
        </w:rPr>
        <w:t>3947.125355</w:t>
      </w:r>
      <w:r w:rsidR="00166C9F">
        <w:rPr>
          <w:rFonts w:ascii="Times New Roman" w:eastAsia="Times New Roman" w:hAnsi="Times New Roman" w:cs="Times New Roman"/>
          <w:color w:val="000000"/>
          <w:sz w:val="24"/>
          <w:szCs w:val="24"/>
        </w:rPr>
        <w:t>.</w:t>
      </w:r>
    </w:p>
    <w:p w:rsidR="007210A9" w:rsidRPr="00BC7009" w:rsidRDefault="007210A9"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t>Visual Diagrams</w:t>
      </w:r>
    </w:p>
    <w:p w:rsidR="00A739AA" w:rsidRPr="00BC7009" w:rsidRDefault="00A739AA"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t>Population Under 65 years</w:t>
      </w:r>
    </w:p>
    <w:p w:rsidR="001775BD" w:rsidRPr="00BC7009" w:rsidRDefault="001775BD" w:rsidP="00BC7009">
      <w:pPr>
        <w:spacing w:line="480" w:lineRule="auto"/>
        <w:rPr>
          <w:rFonts w:ascii="Times New Roman" w:hAnsi="Times New Roman" w:cs="Times New Roman"/>
          <w:sz w:val="24"/>
          <w:szCs w:val="24"/>
        </w:rPr>
      </w:pPr>
    </w:p>
    <w:p w:rsidR="007210A9" w:rsidRPr="00BC7009" w:rsidRDefault="001775BD" w:rsidP="00BC7009">
      <w:pPr>
        <w:spacing w:line="480" w:lineRule="auto"/>
        <w:rPr>
          <w:rFonts w:ascii="Times New Roman" w:hAnsi="Times New Roman" w:cs="Times New Roman"/>
          <w:sz w:val="24"/>
          <w:szCs w:val="24"/>
        </w:rPr>
      </w:pPr>
      <w:r w:rsidRPr="00BC7009">
        <w:rPr>
          <w:rFonts w:ascii="Times New Roman" w:hAnsi="Times New Roman" w:cs="Times New Roman"/>
          <w:noProof/>
          <w:sz w:val="24"/>
          <w:szCs w:val="24"/>
        </w:rPr>
        <w:drawing>
          <wp:inline distT="0" distB="0" distL="0" distR="0">
            <wp:extent cx="4572000" cy="27432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739AA" w:rsidRPr="00BC7009" w:rsidRDefault="00A739AA"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t>Scatter Diagram</w:t>
      </w:r>
    </w:p>
    <w:p w:rsidR="00A739AA" w:rsidRPr="00BC7009" w:rsidRDefault="00A739AA" w:rsidP="00BC7009">
      <w:pPr>
        <w:spacing w:line="480" w:lineRule="auto"/>
        <w:rPr>
          <w:rFonts w:ascii="Times New Roman" w:hAnsi="Times New Roman" w:cs="Times New Roman"/>
          <w:sz w:val="24"/>
          <w:szCs w:val="24"/>
        </w:rPr>
      </w:pPr>
      <w:r w:rsidRPr="00BC7009">
        <w:rPr>
          <w:rFonts w:ascii="Times New Roman" w:hAnsi="Times New Roman" w:cs="Times New Roman"/>
          <w:noProof/>
          <w:sz w:val="24"/>
          <w:szCs w:val="24"/>
        </w:rPr>
        <w:lastRenderedPageBreak/>
        <w:drawing>
          <wp:inline distT="0" distB="0" distL="0" distR="0">
            <wp:extent cx="4572000" cy="2743200"/>
            <wp:effectExtent l="19050" t="0" r="1905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775BD" w:rsidRPr="00BC7009" w:rsidRDefault="00A739AA"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t>Population Under 19 years</w:t>
      </w:r>
    </w:p>
    <w:p w:rsidR="00A739AA" w:rsidRPr="00BC7009" w:rsidRDefault="00A739AA" w:rsidP="00BC7009">
      <w:pPr>
        <w:spacing w:line="480" w:lineRule="auto"/>
        <w:rPr>
          <w:rFonts w:ascii="Times New Roman" w:hAnsi="Times New Roman" w:cs="Times New Roman"/>
          <w:b/>
          <w:sz w:val="24"/>
          <w:szCs w:val="24"/>
        </w:rPr>
      </w:pPr>
    </w:p>
    <w:p w:rsidR="001775BD" w:rsidRPr="00BC7009" w:rsidRDefault="00A739AA" w:rsidP="00BC7009">
      <w:pPr>
        <w:spacing w:line="480" w:lineRule="auto"/>
        <w:rPr>
          <w:rFonts w:ascii="Times New Roman" w:hAnsi="Times New Roman" w:cs="Times New Roman"/>
          <w:sz w:val="24"/>
          <w:szCs w:val="24"/>
        </w:rPr>
      </w:pPr>
      <w:r w:rsidRPr="00BC7009">
        <w:rPr>
          <w:rFonts w:ascii="Times New Roman" w:hAnsi="Times New Roman" w:cs="Times New Roman"/>
          <w:noProof/>
          <w:sz w:val="24"/>
          <w:szCs w:val="24"/>
        </w:rPr>
        <w:drawing>
          <wp:inline distT="0" distB="0" distL="0" distR="0">
            <wp:extent cx="4572000" cy="2743200"/>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739AA" w:rsidRPr="00BC7009" w:rsidRDefault="00A739AA"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t>Scatter diagram</w:t>
      </w:r>
    </w:p>
    <w:p w:rsidR="00A739AA" w:rsidRPr="00BC7009" w:rsidRDefault="00A739AA" w:rsidP="00BC7009">
      <w:pPr>
        <w:spacing w:line="480" w:lineRule="auto"/>
        <w:rPr>
          <w:rFonts w:ascii="Times New Roman" w:hAnsi="Times New Roman" w:cs="Times New Roman"/>
          <w:sz w:val="24"/>
          <w:szCs w:val="24"/>
        </w:rPr>
      </w:pPr>
      <w:r w:rsidRPr="00BC7009">
        <w:rPr>
          <w:rFonts w:ascii="Times New Roman" w:hAnsi="Times New Roman" w:cs="Times New Roman"/>
          <w:noProof/>
          <w:sz w:val="24"/>
          <w:szCs w:val="24"/>
        </w:rPr>
        <w:lastRenderedPageBreak/>
        <w:drawing>
          <wp:inline distT="0" distB="0" distL="0" distR="0">
            <wp:extent cx="4572000" cy="2743200"/>
            <wp:effectExtent l="19050" t="0" r="1905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210A9" w:rsidRPr="00BC7009" w:rsidRDefault="007210A9" w:rsidP="00BC7009">
      <w:pPr>
        <w:spacing w:line="480" w:lineRule="auto"/>
        <w:rPr>
          <w:rFonts w:ascii="Times New Roman" w:hAnsi="Times New Roman" w:cs="Times New Roman"/>
          <w:b/>
          <w:sz w:val="24"/>
          <w:szCs w:val="24"/>
        </w:rPr>
      </w:pPr>
      <w:r w:rsidRPr="00BC7009">
        <w:rPr>
          <w:rFonts w:ascii="Times New Roman" w:hAnsi="Times New Roman" w:cs="Times New Roman"/>
          <w:b/>
          <w:sz w:val="24"/>
          <w:szCs w:val="24"/>
        </w:rPr>
        <w:t>Conclusion</w:t>
      </w:r>
    </w:p>
    <w:p w:rsidR="000E0AAA" w:rsidRDefault="00CE69E5" w:rsidP="00BC7009">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the number of individuals with the age below 65 consist more of the population. US Census Bureau conducts census after ten years and the data was from the 2010 census. The state of Georgia has several towns with different population distributions. The state is diverse when it comes to the population. Different towns have different population which averages at a given number. </w:t>
      </w:r>
      <w:r w:rsidR="00CF5F5F">
        <w:rPr>
          <w:rFonts w:ascii="Times New Roman" w:hAnsi="Times New Roman" w:cs="Times New Roman"/>
          <w:sz w:val="24"/>
          <w:szCs w:val="24"/>
        </w:rPr>
        <w:t>There are towns which has many individuals owing to the fact that different factors determine the population of a given town.</w:t>
      </w:r>
      <w:r>
        <w:rPr>
          <w:rFonts w:ascii="Times New Roman" w:hAnsi="Times New Roman" w:cs="Times New Roman"/>
          <w:sz w:val="24"/>
          <w:szCs w:val="24"/>
        </w:rPr>
        <w:t xml:space="preserve">  </w:t>
      </w:r>
    </w:p>
    <w:p w:rsidR="00F72DF9" w:rsidRPr="00BC7009" w:rsidRDefault="00F72DF9" w:rsidP="00BC7009">
      <w:pPr>
        <w:spacing w:line="480" w:lineRule="auto"/>
        <w:rPr>
          <w:rFonts w:ascii="Times New Roman" w:hAnsi="Times New Roman" w:cs="Times New Roman"/>
          <w:sz w:val="24"/>
          <w:szCs w:val="24"/>
        </w:rPr>
      </w:pPr>
      <w:r>
        <w:rPr>
          <w:rFonts w:ascii="Times New Roman" w:hAnsi="Times New Roman" w:cs="Times New Roman"/>
          <w:sz w:val="24"/>
          <w:szCs w:val="24"/>
        </w:rPr>
        <w:t>The visual diagrams such as the scatter diagrams for both the two sets of data show that there are some outliers. Most of the data are contained in a given area while there are some data which are above the 75% of the data. The scatter diagram is important for showing data from towns which has more number of individuals under 65 years and individuals less than 19 years. Such outliers symbolize more economical and social factors which attract more people. The outliers are towns with more population as compared to others. They have more numbers of the targeted age groups which translates to more people living in such towns.</w:t>
      </w:r>
    </w:p>
    <w:sdt>
      <w:sdtPr>
        <w:rPr>
          <w:rFonts w:ascii="Times New Roman" w:eastAsiaTheme="minorHAnsi" w:hAnsi="Times New Roman" w:cs="Times New Roman"/>
          <w:b w:val="0"/>
          <w:bCs w:val="0"/>
          <w:color w:val="auto"/>
          <w:sz w:val="24"/>
          <w:szCs w:val="24"/>
          <w:lang w:bidi="ar-SA"/>
        </w:rPr>
        <w:id w:val="37183448"/>
        <w:docPartObj>
          <w:docPartGallery w:val="Bibliographies"/>
          <w:docPartUnique/>
        </w:docPartObj>
      </w:sdtPr>
      <w:sdtContent>
        <w:p w:rsidR="000E0AAA" w:rsidRPr="00BC7009" w:rsidRDefault="000E0AAA" w:rsidP="00BC7009">
          <w:pPr>
            <w:pStyle w:val="Heading1"/>
            <w:spacing w:line="480" w:lineRule="auto"/>
            <w:rPr>
              <w:rFonts w:ascii="Times New Roman" w:hAnsi="Times New Roman" w:cs="Times New Roman"/>
              <w:sz w:val="24"/>
              <w:szCs w:val="24"/>
            </w:rPr>
          </w:pPr>
          <w:r w:rsidRPr="00BC7009">
            <w:rPr>
              <w:rFonts w:ascii="Times New Roman" w:hAnsi="Times New Roman" w:cs="Times New Roman"/>
              <w:color w:val="000000" w:themeColor="text1"/>
              <w:sz w:val="24"/>
              <w:szCs w:val="24"/>
            </w:rPr>
            <w:t>Works Cited</w:t>
          </w:r>
        </w:p>
        <w:p w:rsidR="000E0AAA" w:rsidRPr="00BC7009" w:rsidRDefault="00B629F6" w:rsidP="00BC7009">
          <w:pPr>
            <w:pStyle w:val="Bibliography"/>
            <w:spacing w:line="480" w:lineRule="auto"/>
            <w:rPr>
              <w:rFonts w:ascii="Times New Roman" w:hAnsi="Times New Roman" w:cs="Times New Roman"/>
              <w:noProof/>
              <w:sz w:val="24"/>
              <w:szCs w:val="24"/>
            </w:rPr>
          </w:pPr>
          <w:r w:rsidRPr="00BC7009">
            <w:rPr>
              <w:rFonts w:ascii="Times New Roman" w:hAnsi="Times New Roman" w:cs="Times New Roman"/>
              <w:sz w:val="24"/>
              <w:szCs w:val="24"/>
            </w:rPr>
            <w:fldChar w:fldCharType="begin"/>
          </w:r>
          <w:r w:rsidR="000E0AAA" w:rsidRPr="00BC7009">
            <w:rPr>
              <w:rFonts w:ascii="Times New Roman" w:hAnsi="Times New Roman" w:cs="Times New Roman"/>
              <w:sz w:val="24"/>
              <w:szCs w:val="24"/>
            </w:rPr>
            <w:instrText xml:space="preserve"> BIBLIOGRAPHY </w:instrText>
          </w:r>
          <w:r w:rsidRPr="00BC7009">
            <w:rPr>
              <w:rFonts w:ascii="Times New Roman" w:hAnsi="Times New Roman" w:cs="Times New Roman"/>
              <w:sz w:val="24"/>
              <w:szCs w:val="24"/>
            </w:rPr>
            <w:fldChar w:fldCharType="separate"/>
          </w:r>
          <w:r w:rsidR="000E0AAA" w:rsidRPr="00BC7009">
            <w:rPr>
              <w:rFonts w:ascii="Times New Roman" w:hAnsi="Times New Roman" w:cs="Times New Roman"/>
              <w:noProof/>
              <w:sz w:val="24"/>
              <w:szCs w:val="24"/>
            </w:rPr>
            <w:t xml:space="preserve">US Census Bureau. (2010). Social and Economic Data. </w:t>
          </w:r>
          <w:r w:rsidR="000E0AAA" w:rsidRPr="00BC7009">
            <w:rPr>
              <w:rFonts w:ascii="Times New Roman" w:hAnsi="Times New Roman" w:cs="Times New Roman"/>
              <w:i/>
              <w:iCs/>
              <w:noProof/>
              <w:sz w:val="24"/>
              <w:szCs w:val="24"/>
            </w:rPr>
            <w:t>United States Census Bureau</w:t>
          </w:r>
          <w:r w:rsidR="000E0AAA" w:rsidRPr="00BC7009">
            <w:rPr>
              <w:rFonts w:ascii="Times New Roman" w:hAnsi="Times New Roman" w:cs="Times New Roman"/>
              <w:noProof/>
              <w:sz w:val="24"/>
              <w:szCs w:val="24"/>
            </w:rPr>
            <w:t xml:space="preserve"> , 1.</w:t>
          </w:r>
        </w:p>
        <w:p w:rsidR="000E0AAA" w:rsidRPr="00BC7009" w:rsidRDefault="00B629F6" w:rsidP="00BC7009">
          <w:pPr>
            <w:spacing w:line="480" w:lineRule="auto"/>
            <w:rPr>
              <w:rFonts w:ascii="Times New Roman" w:hAnsi="Times New Roman" w:cs="Times New Roman"/>
              <w:sz w:val="24"/>
              <w:szCs w:val="24"/>
            </w:rPr>
          </w:pPr>
          <w:r w:rsidRPr="00BC7009">
            <w:rPr>
              <w:rFonts w:ascii="Times New Roman" w:hAnsi="Times New Roman" w:cs="Times New Roman"/>
              <w:sz w:val="24"/>
              <w:szCs w:val="24"/>
            </w:rPr>
            <w:fldChar w:fldCharType="end"/>
          </w:r>
        </w:p>
      </w:sdtContent>
    </w:sdt>
    <w:p w:rsidR="000E0AAA" w:rsidRPr="00BC7009" w:rsidRDefault="000E0AAA" w:rsidP="00BC7009">
      <w:pPr>
        <w:spacing w:line="480" w:lineRule="auto"/>
        <w:rPr>
          <w:rFonts w:ascii="Times New Roman" w:hAnsi="Times New Roman" w:cs="Times New Roman"/>
          <w:sz w:val="24"/>
          <w:szCs w:val="24"/>
        </w:rPr>
      </w:pPr>
    </w:p>
    <w:p w:rsidR="007210A9" w:rsidRPr="00BC7009" w:rsidRDefault="007210A9" w:rsidP="00BC7009">
      <w:pPr>
        <w:spacing w:line="480" w:lineRule="auto"/>
        <w:rPr>
          <w:rFonts w:ascii="Times New Roman" w:hAnsi="Times New Roman" w:cs="Times New Roman"/>
          <w:sz w:val="24"/>
          <w:szCs w:val="24"/>
        </w:rPr>
      </w:pPr>
    </w:p>
    <w:sectPr w:rsidR="007210A9" w:rsidRPr="00BC7009" w:rsidSect="00404638">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81F" w:rsidRDefault="00BB581F" w:rsidP="00404638">
      <w:pPr>
        <w:spacing w:after="0" w:line="240" w:lineRule="auto"/>
      </w:pPr>
      <w:r>
        <w:separator/>
      </w:r>
    </w:p>
  </w:endnote>
  <w:endnote w:type="continuationSeparator" w:id="1">
    <w:p w:rsidR="00BB581F" w:rsidRDefault="00BB581F" w:rsidP="004046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1329"/>
      <w:docPartObj>
        <w:docPartGallery w:val="Page Numbers (Bottom of Page)"/>
        <w:docPartUnique/>
      </w:docPartObj>
    </w:sdtPr>
    <w:sdtContent>
      <w:p w:rsidR="00CE69E5" w:rsidRDefault="00CE69E5">
        <w:pPr>
          <w:pStyle w:val="Footer"/>
          <w:jc w:val="center"/>
        </w:pPr>
        <w:fldSimple w:instr=" PAGE   \* MERGEFORMAT ">
          <w:r w:rsidR="00F72DF9">
            <w:rPr>
              <w:noProof/>
            </w:rPr>
            <w:t>5</w:t>
          </w:r>
        </w:fldSimple>
      </w:p>
    </w:sdtContent>
  </w:sdt>
  <w:p w:rsidR="00CE69E5" w:rsidRDefault="00CE69E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1328"/>
      <w:docPartObj>
        <w:docPartGallery w:val="Page Numbers (Bottom of Page)"/>
        <w:docPartUnique/>
      </w:docPartObj>
    </w:sdtPr>
    <w:sdtContent>
      <w:p w:rsidR="00CE69E5" w:rsidRDefault="00CE69E5">
        <w:pPr>
          <w:pStyle w:val="Footer"/>
          <w:jc w:val="center"/>
        </w:pPr>
        <w:fldSimple w:instr=" PAGE   \* MERGEFORMAT ">
          <w:r w:rsidR="00080FB7">
            <w:rPr>
              <w:noProof/>
            </w:rPr>
            <w:t>1</w:t>
          </w:r>
        </w:fldSimple>
      </w:p>
    </w:sdtContent>
  </w:sdt>
  <w:p w:rsidR="00CE69E5" w:rsidRDefault="00CE69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81F" w:rsidRDefault="00BB581F" w:rsidP="00404638">
      <w:pPr>
        <w:spacing w:after="0" w:line="240" w:lineRule="auto"/>
      </w:pPr>
      <w:r>
        <w:separator/>
      </w:r>
    </w:p>
  </w:footnote>
  <w:footnote w:type="continuationSeparator" w:id="1">
    <w:p w:rsidR="00BB581F" w:rsidRDefault="00BB581F" w:rsidP="004046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38" w:rsidRDefault="00404638">
    <w:pPr>
      <w:pStyle w:val="Header"/>
    </w:pPr>
    <w:r>
      <w:rPr>
        <w:rFonts w:ascii="Times New Roman" w:hAnsi="Times New Roman" w:cs="Times New Roman"/>
        <w:sz w:val="24"/>
        <w:szCs w:val="24"/>
      </w:rPr>
      <w:t>Georgia state town’s census data analysis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38" w:rsidRDefault="00404638">
    <w:pPr>
      <w:pStyle w:val="Header"/>
    </w:pPr>
    <w:r>
      <w:rPr>
        <w:rFonts w:ascii="Times New Roman" w:hAnsi="Times New Roman" w:cs="Times New Roman"/>
        <w:sz w:val="24"/>
        <w:szCs w:val="24"/>
      </w:rPr>
      <w:t>Running Head: Georgia state town’s census data analysis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10A9"/>
    <w:rsid w:val="000604B5"/>
    <w:rsid w:val="00080FB7"/>
    <w:rsid w:val="000E0AAA"/>
    <w:rsid w:val="001232EE"/>
    <w:rsid w:val="00166C9F"/>
    <w:rsid w:val="001775BD"/>
    <w:rsid w:val="001A44FF"/>
    <w:rsid w:val="00225A25"/>
    <w:rsid w:val="00311D24"/>
    <w:rsid w:val="0036291B"/>
    <w:rsid w:val="00403C10"/>
    <w:rsid w:val="00404638"/>
    <w:rsid w:val="0061152A"/>
    <w:rsid w:val="00673B59"/>
    <w:rsid w:val="0069314F"/>
    <w:rsid w:val="007210A9"/>
    <w:rsid w:val="007F64D4"/>
    <w:rsid w:val="00901B9D"/>
    <w:rsid w:val="00A739AA"/>
    <w:rsid w:val="00A8034C"/>
    <w:rsid w:val="00B629F6"/>
    <w:rsid w:val="00BB581F"/>
    <w:rsid w:val="00BC7009"/>
    <w:rsid w:val="00CC3EC7"/>
    <w:rsid w:val="00CE69E5"/>
    <w:rsid w:val="00CF5F5F"/>
    <w:rsid w:val="00DA7907"/>
    <w:rsid w:val="00DF6797"/>
    <w:rsid w:val="00E92C8F"/>
    <w:rsid w:val="00F550EC"/>
    <w:rsid w:val="00F72D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52A"/>
  </w:style>
  <w:style w:type="paragraph" w:styleId="Heading1">
    <w:name w:val="heading 1"/>
    <w:basedOn w:val="Normal"/>
    <w:next w:val="Normal"/>
    <w:link w:val="Heading1Char"/>
    <w:uiPriority w:val="9"/>
    <w:qFormat/>
    <w:rsid w:val="000E0AA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1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0A9"/>
    <w:rPr>
      <w:rFonts w:ascii="Tahoma" w:hAnsi="Tahoma" w:cs="Tahoma"/>
      <w:sz w:val="16"/>
      <w:szCs w:val="16"/>
    </w:rPr>
  </w:style>
  <w:style w:type="character" w:customStyle="1" w:styleId="Heading1Char">
    <w:name w:val="Heading 1 Char"/>
    <w:basedOn w:val="DefaultParagraphFont"/>
    <w:link w:val="Heading1"/>
    <w:uiPriority w:val="9"/>
    <w:rsid w:val="000E0AA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E0AAA"/>
  </w:style>
  <w:style w:type="table" w:styleId="LightList-Accent5">
    <w:name w:val="Light List Accent 5"/>
    <w:basedOn w:val="TableNormal"/>
    <w:uiPriority w:val="61"/>
    <w:rsid w:val="00DF6797"/>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2">
    <w:name w:val="Light Grid Accent 2"/>
    <w:basedOn w:val="TableNormal"/>
    <w:uiPriority w:val="62"/>
    <w:rsid w:val="00DF6797"/>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Header">
    <w:name w:val="header"/>
    <w:basedOn w:val="Normal"/>
    <w:link w:val="HeaderChar"/>
    <w:uiPriority w:val="99"/>
    <w:semiHidden/>
    <w:unhideWhenUsed/>
    <w:rsid w:val="004046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4638"/>
  </w:style>
  <w:style w:type="paragraph" w:styleId="Footer">
    <w:name w:val="footer"/>
    <w:basedOn w:val="Normal"/>
    <w:link w:val="FooterChar"/>
    <w:uiPriority w:val="99"/>
    <w:unhideWhenUsed/>
    <w:rsid w:val="00404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638"/>
  </w:style>
</w:styles>
</file>

<file path=word/webSettings.xml><?xml version="1.0" encoding="utf-8"?>
<w:webSettings xmlns:r="http://schemas.openxmlformats.org/officeDocument/2006/relationships" xmlns:w="http://schemas.openxmlformats.org/wordprocessingml/2006/main">
  <w:divs>
    <w:div w:id="194945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chulem\Documents\Children%20and%20Population%20under%2065%20years%20Uninsured%20201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chulem\Documents\Children%20and%20Population%20under%2065%20years%20Uninsured%20201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chulem\Documents\Children%20and%20Population%20under%2065%20years%20Uninsured%20201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chulem\Documents\Children%20and%20Population%20under%2065%20years%20Uninsured%20201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Population</a:t>
            </a:r>
            <a:r>
              <a:rPr lang="en-US" baseline="0"/>
              <a:t> Under 65 Years</a:t>
            </a:r>
            <a:endParaRPr lang="en-US"/>
          </a:p>
        </c:rich>
      </c:tx>
    </c:title>
    <c:plotArea>
      <c:layout/>
      <c:barChart>
        <c:barDir val="bar"/>
        <c:grouping val="clustered"/>
        <c:ser>
          <c:idx val="0"/>
          <c:order val="0"/>
          <c:tx>
            <c:strRef>
              <c:f>Uninsured_County!$C$3</c:f>
              <c:strCache>
                <c:ptCount val="1"/>
                <c:pt idx="0">
                  <c:v>Number</c:v>
                </c:pt>
              </c:strCache>
            </c:strRef>
          </c:tx>
          <c:cat>
            <c:strRef>
              <c:f>Uninsured_County!$B$4:$B$21</c:f>
              <c:strCache>
                <c:ptCount val="18"/>
                <c:pt idx="0">
                  <c:v>Appling</c:v>
                </c:pt>
                <c:pt idx="1">
                  <c:v>Atkinson</c:v>
                </c:pt>
                <c:pt idx="2">
                  <c:v>Bacon</c:v>
                </c:pt>
                <c:pt idx="3">
                  <c:v>Baker</c:v>
                </c:pt>
                <c:pt idx="4">
                  <c:v>Baldwin</c:v>
                </c:pt>
                <c:pt idx="5">
                  <c:v>Banks</c:v>
                </c:pt>
                <c:pt idx="6">
                  <c:v>Barrow</c:v>
                </c:pt>
                <c:pt idx="7">
                  <c:v>Bartow</c:v>
                </c:pt>
                <c:pt idx="8">
                  <c:v>Ben Hill</c:v>
                </c:pt>
                <c:pt idx="9">
                  <c:v>Berrien</c:v>
                </c:pt>
                <c:pt idx="10">
                  <c:v>Bibb</c:v>
                </c:pt>
                <c:pt idx="11">
                  <c:v>Bleckley</c:v>
                </c:pt>
                <c:pt idx="12">
                  <c:v>Brantley</c:v>
                </c:pt>
                <c:pt idx="13">
                  <c:v>Brooks</c:v>
                </c:pt>
                <c:pt idx="14">
                  <c:v>Bryan</c:v>
                </c:pt>
                <c:pt idx="15">
                  <c:v>Bulloch</c:v>
                </c:pt>
                <c:pt idx="16">
                  <c:v>Burke</c:v>
                </c:pt>
                <c:pt idx="17">
                  <c:v>Butts</c:v>
                </c:pt>
              </c:strCache>
            </c:strRef>
          </c:cat>
          <c:val>
            <c:numRef>
              <c:f>Uninsured_County!$C$4:$C$21</c:f>
              <c:numCache>
                <c:formatCode>#,##0</c:formatCode>
                <c:ptCount val="18"/>
                <c:pt idx="0">
                  <c:v>3845</c:v>
                </c:pt>
                <c:pt idx="1">
                  <c:v>2373</c:v>
                </c:pt>
                <c:pt idx="2">
                  <c:v>2460</c:v>
                </c:pt>
                <c:pt idx="3" formatCode="General">
                  <c:v>655</c:v>
                </c:pt>
                <c:pt idx="4">
                  <c:v>7316</c:v>
                </c:pt>
                <c:pt idx="5">
                  <c:v>4132</c:v>
                </c:pt>
                <c:pt idx="6">
                  <c:v>15103</c:v>
                </c:pt>
                <c:pt idx="7">
                  <c:v>19683</c:v>
                </c:pt>
                <c:pt idx="8">
                  <c:v>3515</c:v>
                </c:pt>
                <c:pt idx="9">
                  <c:v>3989</c:v>
                </c:pt>
                <c:pt idx="10">
                  <c:v>24823</c:v>
                </c:pt>
                <c:pt idx="11">
                  <c:v>1899</c:v>
                </c:pt>
                <c:pt idx="12">
                  <c:v>3836</c:v>
                </c:pt>
                <c:pt idx="13">
                  <c:v>3435</c:v>
                </c:pt>
                <c:pt idx="14">
                  <c:v>4878</c:v>
                </c:pt>
                <c:pt idx="15">
                  <c:v>13638</c:v>
                </c:pt>
                <c:pt idx="16">
                  <c:v>4176</c:v>
                </c:pt>
                <c:pt idx="17">
                  <c:v>3701</c:v>
                </c:pt>
              </c:numCache>
            </c:numRef>
          </c:val>
        </c:ser>
        <c:axId val="68859392"/>
        <c:axId val="68860928"/>
      </c:barChart>
      <c:catAx>
        <c:axId val="68859392"/>
        <c:scaling>
          <c:orientation val="minMax"/>
        </c:scaling>
        <c:axPos val="l"/>
        <c:tickLblPos val="nextTo"/>
        <c:crossAx val="68860928"/>
        <c:crosses val="autoZero"/>
        <c:auto val="1"/>
        <c:lblAlgn val="ctr"/>
        <c:lblOffset val="100"/>
      </c:catAx>
      <c:valAx>
        <c:axId val="68860928"/>
        <c:scaling>
          <c:orientation val="minMax"/>
        </c:scaling>
        <c:axPos val="b"/>
        <c:majorGridlines/>
        <c:numFmt formatCode="#,##0" sourceLinked="1"/>
        <c:tickLblPos val="nextTo"/>
        <c:crossAx val="68859392"/>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tx>
            <c:strRef>
              <c:f>Uninsured_County!$C$3</c:f>
              <c:strCache>
                <c:ptCount val="1"/>
                <c:pt idx="0">
                  <c:v>Number</c:v>
                </c:pt>
              </c:strCache>
            </c:strRef>
          </c:tx>
          <c:trendline>
            <c:trendlineType val="linear"/>
          </c:trendline>
          <c:xVal>
            <c:strRef>
              <c:f>Uninsured_County!$B$4:$B$162</c:f>
              <c:strCache>
                <c:ptCount val="159"/>
                <c:pt idx="0">
                  <c:v>Appling</c:v>
                </c:pt>
                <c:pt idx="1">
                  <c:v>Atkinson</c:v>
                </c:pt>
                <c:pt idx="2">
                  <c:v>Bacon</c:v>
                </c:pt>
                <c:pt idx="3">
                  <c:v>Baker</c:v>
                </c:pt>
                <c:pt idx="4">
                  <c:v>Baldwin</c:v>
                </c:pt>
                <c:pt idx="5">
                  <c:v>Banks</c:v>
                </c:pt>
                <c:pt idx="6">
                  <c:v>Barrow</c:v>
                </c:pt>
                <c:pt idx="7">
                  <c:v>Bartow</c:v>
                </c:pt>
                <c:pt idx="8">
                  <c:v>Ben Hill</c:v>
                </c:pt>
                <c:pt idx="9">
                  <c:v>Berrien</c:v>
                </c:pt>
                <c:pt idx="10">
                  <c:v>Bibb</c:v>
                </c:pt>
                <c:pt idx="11">
                  <c:v>Bleckley</c:v>
                </c:pt>
                <c:pt idx="12">
                  <c:v>Brantley</c:v>
                </c:pt>
                <c:pt idx="13">
                  <c:v>Brooks</c:v>
                </c:pt>
                <c:pt idx="14">
                  <c:v>Bryan</c:v>
                </c:pt>
                <c:pt idx="15">
                  <c:v>Bulloch</c:v>
                </c:pt>
                <c:pt idx="16">
                  <c:v>Burke</c:v>
                </c:pt>
                <c:pt idx="17">
                  <c:v>Butts</c:v>
                </c:pt>
                <c:pt idx="18">
                  <c:v>Calhoun</c:v>
                </c:pt>
                <c:pt idx="19">
                  <c:v>Camden</c:v>
                </c:pt>
                <c:pt idx="20">
                  <c:v>Candler</c:v>
                </c:pt>
                <c:pt idx="21">
                  <c:v>Carroll</c:v>
                </c:pt>
                <c:pt idx="22">
                  <c:v>Catoosa</c:v>
                </c:pt>
                <c:pt idx="23">
                  <c:v>Charlton</c:v>
                </c:pt>
                <c:pt idx="24">
                  <c:v>Chatham</c:v>
                </c:pt>
                <c:pt idx="25">
                  <c:v>Chattahoochee</c:v>
                </c:pt>
                <c:pt idx="26">
                  <c:v>Chattooga</c:v>
                </c:pt>
                <c:pt idx="27">
                  <c:v>Cherokee</c:v>
                </c:pt>
                <c:pt idx="28">
                  <c:v>Clarke</c:v>
                </c:pt>
                <c:pt idx="29">
                  <c:v>Clay</c:v>
                </c:pt>
                <c:pt idx="30">
                  <c:v>Clayton</c:v>
                </c:pt>
                <c:pt idx="31">
                  <c:v>Clinch</c:v>
                </c:pt>
                <c:pt idx="32">
                  <c:v>Cobb</c:v>
                </c:pt>
                <c:pt idx="33">
                  <c:v>Coffee</c:v>
                </c:pt>
                <c:pt idx="34">
                  <c:v>Colquitt</c:v>
                </c:pt>
                <c:pt idx="35">
                  <c:v>Columbia</c:v>
                </c:pt>
                <c:pt idx="36">
                  <c:v>Cook</c:v>
                </c:pt>
                <c:pt idx="37">
                  <c:v>Coweta</c:v>
                </c:pt>
                <c:pt idx="38">
                  <c:v>Crawford</c:v>
                </c:pt>
                <c:pt idx="39">
                  <c:v>Crisp</c:v>
                </c:pt>
                <c:pt idx="40">
                  <c:v>Dade</c:v>
                </c:pt>
                <c:pt idx="41">
                  <c:v>Dawson</c:v>
                </c:pt>
                <c:pt idx="42">
                  <c:v>Decatur</c:v>
                </c:pt>
                <c:pt idx="43">
                  <c:v>DeKalb</c:v>
                </c:pt>
                <c:pt idx="44">
                  <c:v>Dodge</c:v>
                </c:pt>
                <c:pt idx="45">
                  <c:v>Dooly</c:v>
                </c:pt>
                <c:pt idx="46">
                  <c:v>Dougherty</c:v>
                </c:pt>
                <c:pt idx="47">
                  <c:v>Douglas</c:v>
                </c:pt>
                <c:pt idx="48">
                  <c:v>Early</c:v>
                </c:pt>
                <c:pt idx="49">
                  <c:v>Echols</c:v>
                </c:pt>
                <c:pt idx="50">
                  <c:v>Effingham</c:v>
                </c:pt>
                <c:pt idx="51">
                  <c:v>Elbert</c:v>
                </c:pt>
                <c:pt idx="52">
                  <c:v>Emanuel</c:v>
                </c:pt>
                <c:pt idx="53">
                  <c:v>Evans</c:v>
                </c:pt>
                <c:pt idx="54">
                  <c:v>Fannin</c:v>
                </c:pt>
                <c:pt idx="55">
                  <c:v>Fayette</c:v>
                </c:pt>
                <c:pt idx="56">
                  <c:v>Floyd</c:v>
                </c:pt>
                <c:pt idx="57">
                  <c:v>Forsyth</c:v>
                </c:pt>
                <c:pt idx="58">
                  <c:v>Franklin</c:v>
                </c:pt>
                <c:pt idx="59">
                  <c:v>Fulton</c:v>
                </c:pt>
                <c:pt idx="60">
                  <c:v>Gilmer</c:v>
                </c:pt>
                <c:pt idx="61">
                  <c:v>Glascock</c:v>
                </c:pt>
                <c:pt idx="62">
                  <c:v>Glynn</c:v>
                </c:pt>
                <c:pt idx="63">
                  <c:v>Gordon</c:v>
                </c:pt>
                <c:pt idx="64">
                  <c:v>Grady</c:v>
                </c:pt>
                <c:pt idx="65">
                  <c:v>Greene</c:v>
                </c:pt>
                <c:pt idx="66">
                  <c:v>Gwinnett</c:v>
                </c:pt>
                <c:pt idx="67">
                  <c:v>Habersham</c:v>
                </c:pt>
                <c:pt idx="68">
                  <c:v>Hall</c:v>
                </c:pt>
                <c:pt idx="69">
                  <c:v>Hancock</c:v>
                </c:pt>
                <c:pt idx="70">
                  <c:v>Haralson</c:v>
                </c:pt>
                <c:pt idx="71">
                  <c:v>Harris</c:v>
                </c:pt>
                <c:pt idx="72">
                  <c:v>Hart</c:v>
                </c:pt>
                <c:pt idx="73">
                  <c:v>Heard</c:v>
                </c:pt>
                <c:pt idx="74">
                  <c:v>Henry</c:v>
                </c:pt>
                <c:pt idx="75">
                  <c:v>Houston</c:v>
                </c:pt>
                <c:pt idx="76">
                  <c:v>Irwin</c:v>
                </c:pt>
                <c:pt idx="77">
                  <c:v>Jackson</c:v>
                </c:pt>
                <c:pt idx="78">
                  <c:v>Jasper</c:v>
                </c:pt>
                <c:pt idx="79">
                  <c:v>Jeff Davis</c:v>
                </c:pt>
                <c:pt idx="80">
                  <c:v>Jefferson</c:v>
                </c:pt>
                <c:pt idx="81">
                  <c:v>Jenkins</c:v>
                </c:pt>
                <c:pt idx="82">
                  <c:v>Johnson</c:v>
                </c:pt>
                <c:pt idx="83">
                  <c:v>Jones</c:v>
                </c:pt>
                <c:pt idx="84">
                  <c:v>Lamar</c:v>
                </c:pt>
                <c:pt idx="85">
                  <c:v>Lanier</c:v>
                </c:pt>
                <c:pt idx="86">
                  <c:v>Laurens</c:v>
                </c:pt>
                <c:pt idx="87">
                  <c:v>Lee</c:v>
                </c:pt>
                <c:pt idx="88">
                  <c:v>Liberty</c:v>
                </c:pt>
                <c:pt idx="89">
                  <c:v>Lincoln</c:v>
                </c:pt>
                <c:pt idx="90">
                  <c:v>Long</c:v>
                </c:pt>
                <c:pt idx="91">
                  <c:v>Lowndes</c:v>
                </c:pt>
                <c:pt idx="92">
                  <c:v>Lumpkin</c:v>
                </c:pt>
                <c:pt idx="93">
                  <c:v>McDuffie</c:v>
                </c:pt>
                <c:pt idx="94">
                  <c:v>McIntosh</c:v>
                </c:pt>
                <c:pt idx="95">
                  <c:v>Macon</c:v>
                </c:pt>
                <c:pt idx="96">
                  <c:v>Madison</c:v>
                </c:pt>
                <c:pt idx="97">
                  <c:v>Marion</c:v>
                </c:pt>
                <c:pt idx="98">
                  <c:v>Meriwether</c:v>
                </c:pt>
                <c:pt idx="99">
                  <c:v>Miller</c:v>
                </c:pt>
                <c:pt idx="100">
                  <c:v>Mitchell</c:v>
                </c:pt>
                <c:pt idx="101">
                  <c:v>Monroe</c:v>
                </c:pt>
                <c:pt idx="102">
                  <c:v>Montgomery</c:v>
                </c:pt>
                <c:pt idx="103">
                  <c:v>Morgan</c:v>
                </c:pt>
                <c:pt idx="104">
                  <c:v>Murray</c:v>
                </c:pt>
                <c:pt idx="105">
                  <c:v>Muscogee</c:v>
                </c:pt>
                <c:pt idx="106">
                  <c:v>Newton</c:v>
                </c:pt>
                <c:pt idx="107">
                  <c:v>Oconee</c:v>
                </c:pt>
                <c:pt idx="108">
                  <c:v>Oglethorpe</c:v>
                </c:pt>
                <c:pt idx="109">
                  <c:v>Paulding</c:v>
                </c:pt>
                <c:pt idx="110">
                  <c:v>Peach</c:v>
                </c:pt>
                <c:pt idx="111">
                  <c:v>Pickens</c:v>
                </c:pt>
                <c:pt idx="112">
                  <c:v>Pierce</c:v>
                </c:pt>
                <c:pt idx="113">
                  <c:v>Pike</c:v>
                </c:pt>
                <c:pt idx="114">
                  <c:v>Polk</c:v>
                </c:pt>
                <c:pt idx="115">
                  <c:v>Pulaski</c:v>
                </c:pt>
                <c:pt idx="116">
                  <c:v>Putnam</c:v>
                </c:pt>
                <c:pt idx="117">
                  <c:v>Quitman</c:v>
                </c:pt>
                <c:pt idx="118">
                  <c:v>Rabun</c:v>
                </c:pt>
                <c:pt idx="119">
                  <c:v>Randolph</c:v>
                </c:pt>
                <c:pt idx="120">
                  <c:v>Richmond</c:v>
                </c:pt>
                <c:pt idx="121">
                  <c:v>Rockdale</c:v>
                </c:pt>
                <c:pt idx="122">
                  <c:v>Schley</c:v>
                </c:pt>
                <c:pt idx="123">
                  <c:v>Screven</c:v>
                </c:pt>
                <c:pt idx="124">
                  <c:v>Seminole</c:v>
                </c:pt>
                <c:pt idx="125">
                  <c:v>Spalding</c:v>
                </c:pt>
                <c:pt idx="126">
                  <c:v>Stephens</c:v>
                </c:pt>
                <c:pt idx="127">
                  <c:v>Stewart</c:v>
                </c:pt>
                <c:pt idx="128">
                  <c:v>Sumter</c:v>
                </c:pt>
                <c:pt idx="129">
                  <c:v>Talbot</c:v>
                </c:pt>
                <c:pt idx="130">
                  <c:v>Taliaferro</c:v>
                </c:pt>
                <c:pt idx="131">
                  <c:v>Tattnall</c:v>
                </c:pt>
                <c:pt idx="132">
                  <c:v>Taylor</c:v>
                </c:pt>
                <c:pt idx="133">
                  <c:v>Telfair</c:v>
                </c:pt>
                <c:pt idx="134">
                  <c:v>Terrell</c:v>
                </c:pt>
                <c:pt idx="135">
                  <c:v>Thomas</c:v>
                </c:pt>
                <c:pt idx="136">
                  <c:v>Tift</c:v>
                </c:pt>
                <c:pt idx="137">
                  <c:v>Toombs</c:v>
                </c:pt>
                <c:pt idx="138">
                  <c:v>Towns</c:v>
                </c:pt>
                <c:pt idx="139">
                  <c:v>Treutlen</c:v>
                </c:pt>
                <c:pt idx="140">
                  <c:v>Troup</c:v>
                </c:pt>
                <c:pt idx="141">
                  <c:v>Turner</c:v>
                </c:pt>
                <c:pt idx="142">
                  <c:v>Twiggs</c:v>
                </c:pt>
                <c:pt idx="143">
                  <c:v>Union</c:v>
                </c:pt>
                <c:pt idx="144">
                  <c:v>Upson</c:v>
                </c:pt>
                <c:pt idx="145">
                  <c:v>Walker</c:v>
                </c:pt>
                <c:pt idx="146">
                  <c:v>Walton</c:v>
                </c:pt>
                <c:pt idx="147">
                  <c:v>Ware</c:v>
                </c:pt>
                <c:pt idx="148">
                  <c:v>Warren</c:v>
                </c:pt>
                <c:pt idx="149">
                  <c:v>Washington</c:v>
                </c:pt>
                <c:pt idx="150">
                  <c:v>Wayne</c:v>
                </c:pt>
                <c:pt idx="151">
                  <c:v>Webster</c:v>
                </c:pt>
                <c:pt idx="152">
                  <c:v>Wheeler</c:v>
                </c:pt>
                <c:pt idx="153">
                  <c:v>White</c:v>
                </c:pt>
                <c:pt idx="154">
                  <c:v>Whitfield</c:v>
                </c:pt>
                <c:pt idx="155">
                  <c:v>Wilcox</c:v>
                </c:pt>
                <c:pt idx="156">
                  <c:v>Wilkes</c:v>
                </c:pt>
                <c:pt idx="157">
                  <c:v>Wilkinson</c:v>
                </c:pt>
                <c:pt idx="158">
                  <c:v>Worth</c:v>
                </c:pt>
              </c:strCache>
            </c:strRef>
          </c:xVal>
          <c:yVal>
            <c:numRef>
              <c:f>Uninsured_County!$C$4:$C$162</c:f>
              <c:numCache>
                <c:formatCode>#,##0</c:formatCode>
                <c:ptCount val="159"/>
                <c:pt idx="0">
                  <c:v>3845</c:v>
                </c:pt>
                <c:pt idx="1">
                  <c:v>2373</c:v>
                </c:pt>
                <c:pt idx="2">
                  <c:v>2460</c:v>
                </c:pt>
                <c:pt idx="3" formatCode="General">
                  <c:v>655</c:v>
                </c:pt>
                <c:pt idx="4">
                  <c:v>7316</c:v>
                </c:pt>
                <c:pt idx="5">
                  <c:v>4132</c:v>
                </c:pt>
                <c:pt idx="6">
                  <c:v>15103</c:v>
                </c:pt>
                <c:pt idx="7">
                  <c:v>19683</c:v>
                </c:pt>
                <c:pt idx="8">
                  <c:v>3515</c:v>
                </c:pt>
                <c:pt idx="9">
                  <c:v>3989</c:v>
                </c:pt>
                <c:pt idx="10">
                  <c:v>24823</c:v>
                </c:pt>
                <c:pt idx="11">
                  <c:v>1899</c:v>
                </c:pt>
                <c:pt idx="12">
                  <c:v>3836</c:v>
                </c:pt>
                <c:pt idx="13">
                  <c:v>3435</c:v>
                </c:pt>
                <c:pt idx="14">
                  <c:v>4878</c:v>
                </c:pt>
                <c:pt idx="15">
                  <c:v>13638</c:v>
                </c:pt>
                <c:pt idx="16">
                  <c:v>4176</c:v>
                </c:pt>
                <c:pt idx="17">
                  <c:v>3701</c:v>
                </c:pt>
                <c:pt idx="18">
                  <c:v>1045</c:v>
                </c:pt>
                <c:pt idx="19">
                  <c:v>7689</c:v>
                </c:pt>
                <c:pt idx="20">
                  <c:v>2492</c:v>
                </c:pt>
                <c:pt idx="21">
                  <c:v>21170</c:v>
                </c:pt>
                <c:pt idx="22">
                  <c:v>10587</c:v>
                </c:pt>
                <c:pt idx="23">
                  <c:v>1881</c:v>
                </c:pt>
                <c:pt idx="24">
                  <c:v>47053</c:v>
                </c:pt>
                <c:pt idx="25">
                  <c:v>1126</c:v>
                </c:pt>
                <c:pt idx="26">
                  <c:v>4567</c:v>
                </c:pt>
                <c:pt idx="27">
                  <c:v>34470</c:v>
                </c:pt>
                <c:pt idx="28">
                  <c:v>22148</c:v>
                </c:pt>
                <c:pt idx="29" formatCode="General">
                  <c:v>527</c:v>
                </c:pt>
                <c:pt idx="30">
                  <c:v>65081</c:v>
                </c:pt>
                <c:pt idx="31">
                  <c:v>1288</c:v>
                </c:pt>
                <c:pt idx="32">
                  <c:v>122349</c:v>
                </c:pt>
                <c:pt idx="33">
                  <c:v>8820</c:v>
                </c:pt>
                <c:pt idx="34">
                  <c:v>10396</c:v>
                </c:pt>
                <c:pt idx="35">
                  <c:v>17549</c:v>
                </c:pt>
                <c:pt idx="36">
                  <c:v>3788</c:v>
                </c:pt>
                <c:pt idx="37">
                  <c:v>20055</c:v>
                </c:pt>
                <c:pt idx="38">
                  <c:v>2546</c:v>
                </c:pt>
                <c:pt idx="39">
                  <c:v>4154</c:v>
                </c:pt>
                <c:pt idx="40">
                  <c:v>2800</c:v>
                </c:pt>
                <c:pt idx="41">
                  <c:v>4095</c:v>
                </c:pt>
                <c:pt idx="42">
                  <c:v>5261</c:v>
                </c:pt>
                <c:pt idx="43">
                  <c:v>159225</c:v>
                </c:pt>
                <c:pt idx="44">
                  <c:v>3694</c:v>
                </c:pt>
                <c:pt idx="45">
                  <c:v>2586</c:v>
                </c:pt>
                <c:pt idx="46">
                  <c:v>16259</c:v>
                </c:pt>
                <c:pt idx="47">
                  <c:v>24352</c:v>
                </c:pt>
                <c:pt idx="48">
                  <c:v>1798</c:v>
                </c:pt>
                <c:pt idx="49">
                  <c:v>1320</c:v>
                </c:pt>
                <c:pt idx="50">
                  <c:v>8147</c:v>
                </c:pt>
                <c:pt idx="51">
                  <c:v>4013</c:v>
                </c:pt>
                <c:pt idx="52">
                  <c:v>4974</c:v>
                </c:pt>
                <c:pt idx="53">
                  <c:v>2337</c:v>
                </c:pt>
                <c:pt idx="54">
                  <c:v>4857</c:v>
                </c:pt>
                <c:pt idx="55">
                  <c:v>11770</c:v>
                </c:pt>
                <c:pt idx="56">
                  <c:v>17347</c:v>
                </c:pt>
                <c:pt idx="57">
                  <c:v>23099</c:v>
                </c:pt>
                <c:pt idx="58">
                  <c:v>4343</c:v>
                </c:pt>
                <c:pt idx="59">
                  <c:v>186396</c:v>
                </c:pt>
                <c:pt idx="60">
                  <c:v>6416</c:v>
                </c:pt>
                <c:pt idx="61" formatCode="General">
                  <c:v>517</c:v>
                </c:pt>
                <c:pt idx="62">
                  <c:v>15361</c:v>
                </c:pt>
                <c:pt idx="63">
                  <c:v>12150</c:v>
                </c:pt>
                <c:pt idx="64">
                  <c:v>5736</c:v>
                </c:pt>
                <c:pt idx="65">
                  <c:v>2811</c:v>
                </c:pt>
                <c:pt idx="66">
                  <c:v>182933</c:v>
                </c:pt>
                <c:pt idx="67">
                  <c:v>9055</c:v>
                </c:pt>
                <c:pt idx="68">
                  <c:v>40656</c:v>
                </c:pt>
                <c:pt idx="69">
                  <c:v>1448</c:v>
                </c:pt>
                <c:pt idx="70">
                  <c:v>5049</c:v>
                </c:pt>
                <c:pt idx="71">
                  <c:v>4294</c:v>
                </c:pt>
                <c:pt idx="72">
                  <c:v>4749</c:v>
                </c:pt>
                <c:pt idx="73">
                  <c:v>2124</c:v>
                </c:pt>
                <c:pt idx="74">
                  <c:v>33922</c:v>
                </c:pt>
                <c:pt idx="75">
                  <c:v>22375</c:v>
                </c:pt>
                <c:pt idx="76">
                  <c:v>1915</c:v>
                </c:pt>
                <c:pt idx="77">
                  <c:v>11343</c:v>
                </c:pt>
                <c:pt idx="78">
                  <c:v>2743</c:v>
                </c:pt>
                <c:pt idx="79">
                  <c:v>3308</c:v>
                </c:pt>
                <c:pt idx="80">
                  <c:v>3126</c:v>
                </c:pt>
                <c:pt idx="81">
                  <c:v>1823</c:v>
                </c:pt>
                <c:pt idx="82">
                  <c:v>1597</c:v>
                </c:pt>
                <c:pt idx="83">
                  <c:v>4713</c:v>
                </c:pt>
                <c:pt idx="84">
                  <c:v>3197</c:v>
                </c:pt>
                <c:pt idx="85">
                  <c:v>2232</c:v>
                </c:pt>
                <c:pt idx="86">
                  <c:v>7446</c:v>
                </c:pt>
                <c:pt idx="87">
                  <c:v>4207</c:v>
                </c:pt>
                <c:pt idx="88">
                  <c:v>9766</c:v>
                </c:pt>
                <c:pt idx="89">
                  <c:v>1636</c:v>
                </c:pt>
                <c:pt idx="90">
                  <c:v>3498</c:v>
                </c:pt>
                <c:pt idx="91">
                  <c:v>20802</c:v>
                </c:pt>
                <c:pt idx="92">
                  <c:v>5782</c:v>
                </c:pt>
                <c:pt idx="93">
                  <c:v>3754</c:v>
                </c:pt>
                <c:pt idx="94">
                  <c:v>2728</c:v>
                </c:pt>
                <c:pt idx="95">
                  <c:v>2588</c:v>
                </c:pt>
                <c:pt idx="96">
                  <c:v>5875</c:v>
                </c:pt>
                <c:pt idx="97">
                  <c:v>1908</c:v>
                </c:pt>
                <c:pt idx="98">
                  <c:v>3962</c:v>
                </c:pt>
                <c:pt idx="99">
                  <c:v>1059</c:v>
                </c:pt>
                <c:pt idx="100">
                  <c:v>3875</c:v>
                </c:pt>
                <c:pt idx="101">
                  <c:v>4019</c:v>
                </c:pt>
                <c:pt idx="102">
                  <c:v>1769</c:v>
                </c:pt>
                <c:pt idx="103">
                  <c:v>3197</c:v>
                </c:pt>
                <c:pt idx="104">
                  <c:v>8776</c:v>
                </c:pt>
                <c:pt idx="105">
                  <c:v>31655</c:v>
                </c:pt>
                <c:pt idx="106">
                  <c:v>18720</c:v>
                </c:pt>
                <c:pt idx="107">
                  <c:v>4711</c:v>
                </c:pt>
                <c:pt idx="108">
                  <c:v>3042</c:v>
                </c:pt>
                <c:pt idx="109">
                  <c:v>23214</c:v>
                </c:pt>
                <c:pt idx="110">
                  <c:v>5055</c:v>
                </c:pt>
                <c:pt idx="111">
                  <c:v>5010</c:v>
                </c:pt>
                <c:pt idx="112">
                  <c:v>3719</c:v>
                </c:pt>
                <c:pt idx="113">
                  <c:v>3210</c:v>
                </c:pt>
                <c:pt idx="114">
                  <c:v>8646</c:v>
                </c:pt>
                <c:pt idx="115">
                  <c:v>1917</c:v>
                </c:pt>
                <c:pt idx="116">
                  <c:v>4087</c:v>
                </c:pt>
                <c:pt idx="117" formatCode="General">
                  <c:v>478</c:v>
                </c:pt>
                <c:pt idx="118">
                  <c:v>3506</c:v>
                </c:pt>
                <c:pt idx="119">
                  <c:v>1357</c:v>
                </c:pt>
                <c:pt idx="120">
                  <c:v>33236</c:v>
                </c:pt>
                <c:pt idx="121">
                  <c:v>16920</c:v>
                </c:pt>
                <c:pt idx="122" formatCode="General">
                  <c:v>955</c:v>
                </c:pt>
                <c:pt idx="123">
                  <c:v>2695</c:v>
                </c:pt>
                <c:pt idx="124">
                  <c:v>1506</c:v>
                </c:pt>
                <c:pt idx="125">
                  <c:v>11874</c:v>
                </c:pt>
                <c:pt idx="126">
                  <c:v>5104</c:v>
                </c:pt>
                <c:pt idx="127" formatCode="General">
                  <c:v>769</c:v>
                </c:pt>
                <c:pt idx="128">
                  <c:v>5940</c:v>
                </c:pt>
                <c:pt idx="129">
                  <c:v>1160</c:v>
                </c:pt>
                <c:pt idx="130" formatCode="General">
                  <c:v>363</c:v>
                </c:pt>
                <c:pt idx="131">
                  <c:v>4958</c:v>
                </c:pt>
                <c:pt idx="132">
                  <c:v>1571</c:v>
                </c:pt>
                <c:pt idx="133">
                  <c:v>2637</c:v>
                </c:pt>
                <c:pt idx="134">
                  <c:v>1608</c:v>
                </c:pt>
                <c:pt idx="135">
                  <c:v>7732</c:v>
                </c:pt>
                <c:pt idx="136">
                  <c:v>8342</c:v>
                </c:pt>
                <c:pt idx="137">
                  <c:v>5584</c:v>
                </c:pt>
                <c:pt idx="138">
                  <c:v>1625</c:v>
                </c:pt>
                <c:pt idx="139">
                  <c:v>1276</c:v>
                </c:pt>
                <c:pt idx="140">
                  <c:v>11840</c:v>
                </c:pt>
                <c:pt idx="141">
                  <c:v>1809</c:v>
                </c:pt>
                <c:pt idx="142">
                  <c:v>1693</c:v>
                </c:pt>
                <c:pt idx="143">
                  <c:v>4007</c:v>
                </c:pt>
                <c:pt idx="144">
                  <c:v>4804</c:v>
                </c:pt>
                <c:pt idx="145">
                  <c:v>12533</c:v>
                </c:pt>
                <c:pt idx="146">
                  <c:v>15231</c:v>
                </c:pt>
                <c:pt idx="147">
                  <c:v>6456</c:v>
                </c:pt>
                <c:pt idx="148" formatCode="General">
                  <c:v>987</c:v>
                </c:pt>
                <c:pt idx="149">
                  <c:v>3610</c:v>
                </c:pt>
                <c:pt idx="150">
                  <c:v>5634</c:v>
                </c:pt>
                <c:pt idx="151" formatCode="General">
                  <c:v>645</c:v>
                </c:pt>
                <c:pt idx="152">
                  <c:v>1074</c:v>
                </c:pt>
                <c:pt idx="153">
                  <c:v>5551</c:v>
                </c:pt>
                <c:pt idx="154">
                  <c:v>24288</c:v>
                </c:pt>
                <c:pt idx="155">
                  <c:v>1428</c:v>
                </c:pt>
                <c:pt idx="156">
                  <c:v>1884</c:v>
                </c:pt>
                <c:pt idx="157">
                  <c:v>1601</c:v>
                </c:pt>
                <c:pt idx="158">
                  <c:v>4094</c:v>
                </c:pt>
              </c:numCache>
            </c:numRef>
          </c:yVal>
          <c:smooth val="1"/>
        </c:ser>
        <c:axId val="77216000"/>
        <c:axId val="77304960"/>
      </c:scatterChart>
      <c:valAx>
        <c:axId val="77216000"/>
        <c:scaling>
          <c:orientation val="minMax"/>
        </c:scaling>
        <c:axPos val="b"/>
        <c:majorGridlines/>
        <c:minorGridlines/>
        <c:title/>
        <c:tickLblPos val="nextTo"/>
        <c:crossAx val="77304960"/>
        <c:crosses val="autoZero"/>
        <c:crossBetween val="midCat"/>
      </c:valAx>
      <c:valAx>
        <c:axId val="77304960"/>
        <c:scaling>
          <c:orientation val="minMax"/>
        </c:scaling>
        <c:axPos val="l"/>
        <c:majorGridlines/>
        <c:minorGridlines/>
        <c:title/>
        <c:numFmt formatCode="#,##0" sourceLinked="1"/>
        <c:tickLblPos val="nextTo"/>
        <c:crossAx val="77216000"/>
        <c:crosses val="autoZero"/>
        <c:crossBetween val="midCat"/>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Population</a:t>
            </a:r>
            <a:r>
              <a:rPr lang="en-US" baseline="0"/>
              <a:t> Under 19 years</a:t>
            </a:r>
            <a:endParaRPr lang="en-US"/>
          </a:p>
        </c:rich>
      </c:tx>
    </c:title>
    <c:plotArea>
      <c:layout/>
      <c:barChart>
        <c:barDir val="bar"/>
        <c:grouping val="clustered"/>
        <c:ser>
          <c:idx val="0"/>
          <c:order val="0"/>
          <c:tx>
            <c:strRef>
              <c:f>Uninsured_County!$E$3</c:f>
              <c:strCache>
                <c:ptCount val="1"/>
                <c:pt idx="0">
                  <c:v>Number</c:v>
                </c:pt>
              </c:strCache>
            </c:strRef>
          </c:tx>
          <c:cat>
            <c:strRef>
              <c:f>Uninsured_County!$B$4:$B$20</c:f>
              <c:strCache>
                <c:ptCount val="17"/>
                <c:pt idx="0">
                  <c:v>Appling</c:v>
                </c:pt>
                <c:pt idx="1">
                  <c:v>Atkinson</c:v>
                </c:pt>
                <c:pt idx="2">
                  <c:v>Bacon</c:v>
                </c:pt>
                <c:pt idx="3">
                  <c:v>Baker</c:v>
                </c:pt>
                <c:pt idx="4">
                  <c:v>Baldwin</c:v>
                </c:pt>
                <c:pt idx="5">
                  <c:v>Banks</c:v>
                </c:pt>
                <c:pt idx="6">
                  <c:v>Barrow</c:v>
                </c:pt>
                <c:pt idx="7">
                  <c:v>Bartow</c:v>
                </c:pt>
                <c:pt idx="8">
                  <c:v>Ben Hill</c:v>
                </c:pt>
                <c:pt idx="9">
                  <c:v>Berrien</c:v>
                </c:pt>
                <c:pt idx="10">
                  <c:v>Bibb</c:v>
                </c:pt>
                <c:pt idx="11">
                  <c:v>Bleckley</c:v>
                </c:pt>
                <c:pt idx="12">
                  <c:v>Brantley</c:v>
                </c:pt>
                <c:pt idx="13">
                  <c:v>Brooks</c:v>
                </c:pt>
                <c:pt idx="14">
                  <c:v>Bryan</c:v>
                </c:pt>
                <c:pt idx="15">
                  <c:v>Bulloch</c:v>
                </c:pt>
                <c:pt idx="16">
                  <c:v>Burke</c:v>
                </c:pt>
              </c:strCache>
            </c:strRef>
          </c:cat>
          <c:val>
            <c:numRef>
              <c:f>Uninsured_County!$E$4:$E$20</c:f>
              <c:numCache>
                <c:formatCode>General</c:formatCode>
                <c:ptCount val="17"/>
                <c:pt idx="0">
                  <c:v>592</c:v>
                </c:pt>
                <c:pt idx="1">
                  <c:v>371</c:v>
                </c:pt>
                <c:pt idx="2">
                  <c:v>336</c:v>
                </c:pt>
                <c:pt idx="3">
                  <c:v>87</c:v>
                </c:pt>
                <c:pt idx="4">
                  <c:v>835</c:v>
                </c:pt>
                <c:pt idx="5">
                  <c:v>597</c:v>
                </c:pt>
                <c:pt idx="6" formatCode="#,##0">
                  <c:v>2138</c:v>
                </c:pt>
                <c:pt idx="7" formatCode="#,##0">
                  <c:v>2685</c:v>
                </c:pt>
                <c:pt idx="8">
                  <c:v>472</c:v>
                </c:pt>
                <c:pt idx="9">
                  <c:v>504</c:v>
                </c:pt>
                <c:pt idx="10" formatCode="#,##0">
                  <c:v>3366</c:v>
                </c:pt>
                <c:pt idx="11">
                  <c:v>248</c:v>
                </c:pt>
                <c:pt idx="12">
                  <c:v>545</c:v>
                </c:pt>
                <c:pt idx="13">
                  <c:v>452</c:v>
                </c:pt>
                <c:pt idx="14">
                  <c:v>909</c:v>
                </c:pt>
                <c:pt idx="15" formatCode="#,##0">
                  <c:v>1583</c:v>
                </c:pt>
                <c:pt idx="16">
                  <c:v>569</c:v>
                </c:pt>
              </c:numCache>
            </c:numRef>
          </c:val>
        </c:ser>
        <c:axId val="77644928"/>
        <c:axId val="78947072"/>
      </c:barChart>
      <c:catAx>
        <c:axId val="77644928"/>
        <c:scaling>
          <c:orientation val="minMax"/>
        </c:scaling>
        <c:axPos val="l"/>
        <c:tickLblPos val="nextTo"/>
        <c:crossAx val="78947072"/>
        <c:crosses val="autoZero"/>
        <c:auto val="1"/>
        <c:lblAlgn val="ctr"/>
        <c:lblOffset val="100"/>
      </c:catAx>
      <c:valAx>
        <c:axId val="78947072"/>
        <c:scaling>
          <c:orientation val="minMax"/>
        </c:scaling>
        <c:axPos val="b"/>
        <c:majorGridlines/>
        <c:numFmt formatCode="General" sourceLinked="1"/>
        <c:tickLblPos val="nextTo"/>
        <c:crossAx val="77644928"/>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tx>
            <c:strRef>
              <c:f>Uninsured_County!$E$3</c:f>
              <c:strCache>
                <c:ptCount val="1"/>
                <c:pt idx="0">
                  <c:v>Number</c:v>
                </c:pt>
              </c:strCache>
            </c:strRef>
          </c:tx>
          <c:trendline>
            <c:trendlineType val="linear"/>
          </c:trendline>
          <c:xVal>
            <c:strRef>
              <c:f>Uninsured_County!$B$4:$B$162</c:f>
              <c:strCache>
                <c:ptCount val="159"/>
                <c:pt idx="0">
                  <c:v>Appling</c:v>
                </c:pt>
                <c:pt idx="1">
                  <c:v>Atkinson</c:v>
                </c:pt>
                <c:pt idx="2">
                  <c:v>Bacon</c:v>
                </c:pt>
                <c:pt idx="3">
                  <c:v>Baker</c:v>
                </c:pt>
                <c:pt idx="4">
                  <c:v>Baldwin</c:v>
                </c:pt>
                <c:pt idx="5">
                  <c:v>Banks</c:v>
                </c:pt>
                <c:pt idx="6">
                  <c:v>Barrow</c:v>
                </c:pt>
                <c:pt idx="7">
                  <c:v>Bartow</c:v>
                </c:pt>
                <c:pt idx="8">
                  <c:v>Ben Hill</c:v>
                </c:pt>
                <c:pt idx="9">
                  <c:v>Berrien</c:v>
                </c:pt>
                <c:pt idx="10">
                  <c:v>Bibb</c:v>
                </c:pt>
                <c:pt idx="11">
                  <c:v>Bleckley</c:v>
                </c:pt>
                <c:pt idx="12">
                  <c:v>Brantley</c:v>
                </c:pt>
                <c:pt idx="13">
                  <c:v>Brooks</c:v>
                </c:pt>
                <c:pt idx="14">
                  <c:v>Bryan</c:v>
                </c:pt>
                <c:pt idx="15">
                  <c:v>Bulloch</c:v>
                </c:pt>
                <c:pt idx="16">
                  <c:v>Burke</c:v>
                </c:pt>
                <c:pt idx="17">
                  <c:v>Butts</c:v>
                </c:pt>
                <c:pt idx="18">
                  <c:v>Calhoun</c:v>
                </c:pt>
                <c:pt idx="19">
                  <c:v>Camden</c:v>
                </c:pt>
                <c:pt idx="20">
                  <c:v>Candler</c:v>
                </c:pt>
                <c:pt idx="21">
                  <c:v>Carroll</c:v>
                </c:pt>
                <c:pt idx="22">
                  <c:v>Catoosa</c:v>
                </c:pt>
                <c:pt idx="23">
                  <c:v>Charlton</c:v>
                </c:pt>
                <c:pt idx="24">
                  <c:v>Chatham</c:v>
                </c:pt>
                <c:pt idx="25">
                  <c:v>Chattahoochee</c:v>
                </c:pt>
                <c:pt idx="26">
                  <c:v>Chattooga</c:v>
                </c:pt>
                <c:pt idx="27">
                  <c:v>Cherokee</c:v>
                </c:pt>
                <c:pt idx="28">
                  <c:v>Clarke</c:v>
                </c:pt>
                <c:pt idx="29">
                  <c:v>Clay</c:v>
                </c:pt>
                <c:pt idx="30">
                  <c:v>Clayton</c:v>
                </c:pt>
                <c:pt idx="31">
                  <c:v>Clinch</c:v>
                </c:pt>
                <c:pt idx="32">
                  <c:v>Cobb</c:v>
                </c:pt>
                <c:pt idx="33">
                  <c:v>Coffee</c:v>
                </c:pt>
                <c:pt idx="34">
                  <c:v>Colquitt</c:v>
                </c:pt>
                <c:pt idx="35">
                  <c:v>Columbia</c:v>
                </c:pt>
                <c:pt idx="36">
                  <c:v>Cook</c:v>
                </c:pt>
                <c:pt idx="37">
                  <c:v>Coweta</c:v>
                </c:pt>
                <c:pt idx="38">
                  <c:v>Crawford</c:v>
                </c:pt>
                <c:pt idx="39">
                  <c:v>Crisp</c:v>
                </c:pt>
                <c:pt idx="40">
                  <c:v>Dade</c:v>
                </c:pt>
                <c:pt idx="41">
                  <c:v>Dawson</c:v>
                </c:pt>
                <c:pt idx="42">
                  <c:v>Decatur</c:v>
                </c:pt>
                <c:pt idx="43">
                  <c:v>DeKalb</c:v>
                </c:pt>
                <c:pt idx="44">
                  <c:v>Dodge</c:v>
                </c:pt>
                <c:pt idx="45">
                  <c:v>Dooly</c:v>
                </c:pt>
                <c:pt idx="46">
                  <c:v>Dougherty</c:v>
                </c:pt>
                <c:pt idx="47">
                  <c:v>Douglas</c:v>
                </c:pt>
                <c:pt idx="48">
                  <c:v>Early</c:v>
                </c:pt>
                <c:pt idx="49">
                  <c:v>Echols</c:v>
                </c:pt>
                <c:pt idx="50">
                  <c:v>Effingham</c:v>
                </c:pt>
                <c:pt idx="51">
                  <c:v>Elbert</c:v>
                </c:pt>
                <c:pt idx="52">
                  <c:v>Emanuel</c:v>
                </c:pt>
                <c:pt idx="53">
                  <c:v>Evans</c:v>
                </c:pt>
                <c:pt idx="54">
                  <c:v>Fannin</c:v>
                </c:pt>
                <c:pt idx="55">
                  <c:v>Fayette</c:v>
                </c:pt>
                <c:pt idx="56">
                  <c:v>Floyd</c:v>
                </c:pt>
                <c:pt idx="57">
                  <c:v>Forsyth</c:v>
                </c:pt>
                <c:pt idx="58">
                  <c:v>Franklin</c:v>
                </c:pt>
                <c:pt idx="59">
                  <c:v>Fulton</c:v>
                </c:pt>
                <c:pt idx="60">
                  <c:v>Gilmer</c:v>
                </c:pt>
                <c:pt idx="61">
                  <c:v>Glascock</c:v>
                </c:pt>
                <c:pt idx="62">
                  <c:v>Glynn</c:v>
                </c:pt>
                <c:pt idx="63">
                  <c:v>Gordon</c:v>
                </c:pt>
                <c:pt idx="64">
                  <c:v>Grady</c:v>
                </c:pt>
                <c:pt idx="65">
                  <c:v>Greene</c:v>
                </c:pt>
                <c:pt idx="66">
                  <c:v>Gwinnett</c:v>
                </c:pt>
                <c:pt idx="67">
                  <c:v>Habersham</c:v>
                </c:pt>
                <c:pt idx="68">
                  <c:v>Hall</c:v>
                </c:pt>
                <c:pt idx="69">
                  <c:v>Hancock</c:v>
                </c:pt>
                <c:pt idx="70">
                  <c:v>Haralson</c:v>
                </c:pt>
                <c:pt idx="71">
                  <c:v>Harris</c:v>
                </c:pt>
                <c:pt idx="72">
                  <c:v>Hart</c:v>
                </c:pt>
                <c:pt idx="73">
                  <c:v>Heard</c:v>
                </c:pt>
                <c:pt idx="74">
                  <c:v>Henry</c:v>
                </c:pt>
                <c:pt idx="75">
                  <c:v>Houston</c:v>
                </c:pt>
                <c:pt idx="76">
                  <c:v>Irwin</c:v>
                </c:pt>
                <c:pt idx="77">
                  <c:v>Jackson</c:v>
                </c:pt>
                <c:pt idx="78">
                  <c:v>Jasper</c:v>
                </c:pt>
                <c:pt idx="79">
                  <c:v>Jeff Davis</c:v>
                </c:pt>
                <c:pt idx="80">
                  <c:v>Jefferson</c:v>
                </c:pt>
                <c:pt idx="81">
                  <c:v>Jenkins</c:v>
                </c:pt>
                <c:pt idx="82">
                  <c:v>Johnson</c:v>
                </c:pt>
                <c:pt idx="83">
                  <c:v>Jones</c:v>
                </c:pt>
                <c:pt idx="84">
                  <c:v>Lamar</c:v>
                </c:pt>
                <c:pt idx="85">
                  <c:v>Lanier</c:v>
                </c:pt>
                <c:pt idx="86">
                  <c:v>Laurens</c:v>
                </c:pt>
                <c:pt idx="87">
                  <c:v>Lee</c:v>
                </c:pt>
                <c:pt idx="88">
                  <c:v>Liberty</c:v>
                </c:pt>
                <c:pt idx="89">
                  <c:v>Lincoln</c:v>
                </c:pt>
                <c:pt idx="90">
                  <c:v>Long</c:v>
                </c:pt>
                <c:pt idx="91">
                  <c:v>Lowndes</c:v>
                </c:pt>
                <c:pt idx="92">
                  <c:v>Lumpkin</c:v>
                </c:pt>
                <c:pt idx="93">
                  <c:v>McDuffie</c:v>
                </c:pt>
                <c:pt idx="94">
                  <c:v>McIntosh</c:v>
                </c:pt>
                <c:pt idx="95">
                  <c:v>Macon</c:v>
                </c:pt>
                <c:pt idx="96">
                  <c:v>Madison</c:v>
                </c:pt>
                <c:pt idx="97">
                  <c:v>Marion</c:v>
                </c:pt>
                <c:pt idx="98">
                  <c:v>Meriwether</c:v>
                </c:pt>
                <c:pt idx="99">
                  <c:v>Miller</c:v>
                </c:pt>
                <c:pt idx="100">
                  <c:v>Mitchell</c:v>
                </c:pt>
                <c:pt idx="101">
                  <c:v>Monroe</c:v>
                </c:pt>
                <c:pt idx="102">
                  <c:v>Montgomery</c:v>
                </c:pt>
                <c:pt idx="103">
                  <c:v>Morgan</c:v>
                </c:pt>
                <c:pt idx="104">
                  <c:v>Murray</c:v>
                </c:pt>
                <c:pt idx="105">
                  <c:v>Muscogee</c:v>
                </c:pt>
                <c:pt idx="106">
                  <c:v>Newton</c:v>
                </c:pt>
                <c:pt idx="107">
                  <c:v>Oconee</c:v>
                </c:pt>
                <c:pt idx="108">
                  <c:v>Oglethorpe</c:v>
                </c:pt>
                <c:pt idx="109">
                  <c:v>Paulding</c:v>
                </c:pt>
                <c:pt idx="110">
                  <c:v>Peach</c:v>
                </c:pt>
                <c:pt idx="111">
                  <c:v>Pickens</c:v>
                </c:pt>
                <c:pt idx="112">
                  <c:v>Pierce</c:v>
                </c:pt>
                <c:pt idx="113">
                  <c:v>Pike</c:v>
                </c:pt>
                <c:pt idx="114">
                  <c:v>Polk</c:v>
                </c:pt>
                <c:pt idx="115">
                  <c:v>Pulaski</c:v>
                </c:pt>
                <c:pt idx="116">
                  <c:v>Putnam</c:v>
                </c:pt>
                <c:pt idx="117">
                  <c:v>Quitman</c:v>
                </c:pt>
                <c:pt idx="118">
                  <c:v>Rabun</c:v>
                </c:pt>
                <c:pt idx="119">
                  <c:v>Randolph</c:v>
                </c:pt>
                <c:pt idx="120">
                  <c:v>Richmond</c:v>
                </c:pt>
                <c:pt idx="121">
                  <c:v>Rockdale</c:v>
                </c:pt>
                <c:pt idx="122">
                  <c:v>Schley</c:v>
                </c:pt>
                <c:pt idx="123">
                  <c:v>Screven</c:v>
                </c:pt>
                <c:pt idx="124">
                  <c:v>Seminole</c:v>
                </c:pt>
                <c:pt idx="125">
                  <c:v>Spalding</c:v>
                </c:pt>
                <c:pt idx="126">
                  <c:v>Stephens</c:v>
                </c:pt>
                <c:pt idx="127">
                  <c:v>Stewart</c:v>
                </c:pt>
                <c:pt idx="128">
                  <c:v>Sumter</c:v>
                </c:pt>
                <c:pt idx="129">
                  <c:v>Talbot</c:v>
                </c:pt>
                <c:pt idx="130">
                  <c:v>Taliaferro</c:v>
                </c:pt>
                <c:pt idx="131">
                  <c:v>Tattnall</c:v>
                </c:pt>
                <c:pt idx="132">
                  <c:v>Taylor</c:v>
                </c:pt>
                <c:pt idx="133">
                  <c:v>Telfair</c:v>
                </c:pt>
                <c:pt idx="134">
                  <c:v>Terrell</c:v>
                </c:pt>
                <c:pt idx="135">
                  <c:v>Thomas</c:v>
                </c:pt>
                <c:pt idx="136">
                  <c:v>Tift</c:v>
                </c:pt>
                <c:pt idx="137">
                  <c:v>Toombs</c:v>
                </c:pt>
                <c:pt idx="138">
                  <c:v>Towns</c:v>
                </c:pt>
                <c:pt idx="139">
                  <c:v>Treutlen</c:v>
                </c:pt>
                <c:pt idx="140">
                  <c:v>Troup</c:v>
                </c:pt>
                <c:pt idx="141">
                  <c:v>Turner</c:v>
                </c:pt>
                <c:pt idx="142">
                  <c:v>Twiggs</c:v>
                </c:pt>
                <c:pt idx="143">
                  <c:v>Union</c:v>
                </c:pt>
                <c:pt idx="144">
                  <c:v>Upson</c:v>
                </c:pt>
                <c:pt idx="145">
                  <c:v>Walker</c:v>
                </c:pt>
                <c:pt idx="146">
                  <c:v>Walton</c:v>
                </c:pt>
                <c:pt idx="147">
                  <c:v>Ware</c:v>
                </c:pt>
                <c:pt idx="148">
                  <c:v>Warren</c:v>
                </c:pt>
                <c:pt idx="149">
                  <c:v>Washington</c:v>
                </c:pt>
                <c:pt idx="150">
                  <c:v>Wayne</c:v>
                </c:pt>
                <c:pt idx="151">
                  <c:v>Webster</c:v>
                </c:pt>
                <c:pt idx="152">
                  <c:v>Wheeler</c:v>
                </c:pt>
                <c:pt idx="153">
                  <c:v>White</c:v>
                </c:pt>
                <c:pt idx="154">
                  <c:v>Whitfield</c:v>
                </c:pt>
                <c:pt idx="155">
                  <c:v>Wilcox</c:v>
                </c:pt>
                <c:pt idx="156">
                  <c:v>Wilkes</c:v>
                </c:pt>
                <c:pt idx="157">
                  <c:v>Wilkinson</c:v>
                </c:pt>
                <c:pt idx="158">
                  <c:v>Worth</c:v>
                </c:pt>
              </c:strCache>
            </c:strRef>
          </c:xVal>
          <c:yVal>
            <c:numRef>
              <c:f>Uninsured_County!$E$4:$E$162</c:f>
              <c:numCache>
                <c:formatCode>General</c:formatCode>
                <c:ptCount val="159"/>
                <c:pt idx="0">
                  <c:v>592</c:v>
                </c:pt>
                <c:pt idx="1">
                  <c:v>371</c:v>
                </c:pt>
                <c:pt idx="2">
                  <c:v>336</c:v>
                </c:pt>
                <c:pt idx="3">
                  <c:v>87</c:v>
                </c:pt>
                <c:pt idx="4">
                  <c:v>835</c:v>
                </c:pt>
                <c:pt idx="5">
                  <c:v>597</c:v>
                </c:pt>
                <c:pt idx="6" formatCode="#,##0">
                  <c:v>2138</c:v>
                </c:pt>
                <c:pt idx="7" formatCode="#,##0">
                  <c:v>2685</c:v>
                </c:pt>
                <c:pt idx="8">
                  <c:v>472</c:v>
                </c:pt>
                <c:pt idx="9">
                  <c:v>504</c:v>
                </c:pt>
                <c:pt idx="10" formatCode="#,##0">
                  <c:v>3366</c:v>
                </c:pt>
                <c:pt idx="11">
                  <c:v>248</c:v>
                </c:pt>
                <c:pt idx="12">
                  <c:v>545</c:v>
                </c:pt>
                <c:pt idx="13">
                  <c:v>452</c:v>
                </c:pt>
                <c:pt idx="14">
                  <c:v>909</c:v>
                </c:pt>
                <c:pt idx="15" formatCode="#,##0">
                  <c:v>1583</c:v>
                </c:pt>
                <c:pt idx="16">
                  <c:v>569</c:v>
                </c:pt>
                <c:pt idx="17">
                  <c:v>523</c:v>
                </c:pt>
                <c:pt idx="18">
                  <c:v>153</c:v>
                </c:pt>
                <c:pt idx="19" formatCode="#,##0">
                  <c:v>1060</c:v>
                </c:pt>
                <c:pt idx="20">
                  <c:v>355</c:v>
                </c:pt>
                <c:pt idx="21" formatCode="#,##0">
                  <c:v>2781</c:v>
                </c:pt>
                <c:pt idx="22" formatCode="#,##0">
                  <c:v>1259</c:v>
                </c:pt>
                <c:pt idx="23">
                  <c:v>238</c:v>
                </c:pt>
                <c:pt idx="24" formatCode="#,##0">
                  <c:v>5833</c:v>
                </c:pt>
                <c:pt idx="25">
                  <c:v>176</c:v>
                </c:pt>
                <c:pt idx="26">
                  <c:v>549</c:v>
                </c:pt>
                <c:pt idx="27" formatCode="#,##0">
                  <c:v>4915</c:v>
                </c:pt>
                <c:pt idx="28" formatCode="#,##0">
                  <c:v>2047</c:v>
                </c:pt>
                <c:pt idx="29">
                  <c:v>74</c:v>
                </c:pt>
                <c:pt idx="30" formatCode="#,##0">
                  <c:v>8945</c:v>
                </c:pt>
                <c:pt idx="31">
                  <c:v>167</c:v>
                </c:pt>
                <c:pt idx="32" formatCode="#,##0">
                  <c:v>18702</c:v>
                </c:pt>
                <c:pt idx="33" formatCode="#,##0">
                  <c:v>1230</c:v>
                </c:pt>
                <c:pt idx="34" formatCode="#,##0">
                  <c:v>1515</c:v>
                </c:pt>
                <c:pt idx="35" formatCode="#,##0">
                  <c:v>3152</c:v>
                </c:pt>
                <c:pt idx="36">
                  <c:v>542</c:v>
                </c:pt>
                <c:pt idx="37" formatCode="#,##0">
                  <c:v>3128</c:v>
                </c:pt>
                <c:pt idx="38">
                  <c:v>374</c:v>
                </c:pt>
                <c:pt idx="39">
                  <c:v>492</c:v>
                </c:pt>
                <c:pt idx="40">
                  <c:v>364</c:v>
                </c:pt>
                <c:pt idx="41">
                  <c:v>561</c:v>
                </c:pt>
                <c:pt idx="42">
                  <c:v>679</c:v>
                </c:pt>
                <c:pt idx="43" formatCode="#,##0">
                  <c:v>20882</c:v>
                </c:pt>
                <c:pt idx="44">
                  <c:v>479</c:v>
                </c:pt>
                <c:pt idx="45">
                  <c:v>339</c:v>
                </c:pt>
                <c:pt idx="46" formatCode="#,##0">
                  <c:v>1850</c:v>
                </c:pt>
                <c:pt idx="47" formatCode="#,##0">
                  <c:v>3981</c:v>
                </c:pt>
                <c:pt idx="48">
                  <c:v>231</c:v>
                </c:pt>
                <c:pt idx="49">
                  <c:v>250</c:v>
                </c:pt>
                <c:pt idx="50" formatCode="#,##0">
                  <c:v>1208</c:v>
                </c:pt>
                <c:pt idx="51">
                  <c:v>504</c:v>
                </c:pt>
                <c:pt idx="52">
                  <c:v>616</c:v>
                </c:pt>
                <c:pt idx="53">
                  <c:v>324</c:v>
                </c:pt>
                <c:pt idx="54">
                  <c:v>637</c:v>
                </c:pt>
                <c:pt idx="55" formatCode="#,##0">
                  <c:v>2181</c:v>
                </c:pt>
                <c:pt idx="56" formatCode="#,##0">
                  <c:v>2374</c:v>
                </c:pt>
                <c:pt idx="57" formatCode="#,##0">
                  <c:v>4333</c:v>
                </c:pt>
                <c:pt idx="58">
                  <c:v>509</c:v>
                </c:pt>
                <c:pt idx="59" formatCode="#,##0">
                  <c:v>25842</c:v>
                </c:pt>
                <c:pt idx="60">
                  <c:v>931</c:v>
                </c:pt>
                <c:pt idx="61">
                  <c:v>85</c:v>
                </c:pt>
                <c:pt idx="62" formatCode="#,##0">
                  <c:v>2081</c:v>
                </c:pt>
                <c:pt idx="63" formatCode="#,##0">
                  <c:v>1658</c:v>
                </c:pt>
                <c:pt idx="64">
                  <c:v>771</c:v>
                </c:pt>
                <c:pt idx="65">
                  <c:v>362</c:v>
                </c:pt>
                <c:pt idx="66" formatCode="#,##0">
                  <c:v>31062</c:v>
                </c:pt>
                <c:pt idx="67" formatCode="#,##0">
                  <c:v>1532</c:v>
                </c:pt>
                <c:pt idx="68" formatCode="#,##0">
                  <c:v>7153</c:v>
                </c:pt>
                <c:pt idx="69">
                  <c:v>145</c:v>
                </c:pt>
                <c:pt idx="70">
                  <c:v>659</c:v>
                </c:pt>
                <c:pt idx="71">
                  <c:v>788</c:v>
                </c:pt>
                <c:pt idx="72">
                  <c:v>686</c:v>
                </c:pt>
                <c:pt idx="73">
                  <c:v>317</c:v>
                </c:pt>
                <c:pt idx="74" formatCode="#,##0">
                  <c:v>6243</c:v>
                </c:pt>
                <c:pt idx="75" formatCode="#,##0">
                  <c:v>3226</c:v>
                </c:pt>
                <c:pt idx="76">
                  <c:v>279</c:v>
                </c:pt>
                <c:pt idx="77" formatCode="#,##0">
                  <c:v>1829</c:v>
                </c:pt>
                <c:pt idx="78">
                  <c:v>407</c:v>
                </c:pt>
                <c:pt idx="79">
                  <c:v>496</c:v>
                </c:pt>
                <c:pt idx="80">
                  <c:v>391</c:v>
                </c:pt>
                <c:pt idx="81">
                  <c:v>250</c:v>
                </c:pt>
                <c:pt idx="82">
                  <c:v>208</c:v>
                </c:pt>
                <c:pt idx="83">
                  <c:v>720</c:v>
                </c:pt>
                <c:pt idx="84">
                  <c:v>386</c:v>
                </c:pt>
                <c:pt idx="85">
                  <c:v>288</c:v>
                </c:pt>
                <c:pt idx="86" formatCode="#,##0">
                  <c:v>1022</c:v>
                </c:pt>
                <c:pt idx="87">
                  <c:v>652</c:v>
                </c:pt>
                <c:pt idx="88" formatCode="#,##0">
                  <c:v>1423</c:v>
                </c:pt>
                <c:pt idx="89">
                  <c:v>210</c:v>
                </c:pt>
                <c:pt idx="90">
                  <c:v>563</c:v>
                </c:pt>
                <c:pt idx="91" formatCode="#,##0">
                  <c:v>2390</c:v>
                </c:pt>
                <c:pt idx="92">
                  <c:v>713</c:v>
                </c:pt>
                <c:pt idx="93">
                  <c:v>500</c:v>
                </c:pt>
                <c:pt idx="94">
                  <c:v>352</c:v>
                </c:pt>
                <c:pt idx="95">
                  <c:v>360</c:v>
                </c:pt>
                <c:pt idx="96">
                  <c:v>803</c:v>
                </c:pt>
                <c:pt idx="97">
                  <c:v>322</c:v>
                </c:pt>
                <c:pt idx="98">
                  <c:v>519</c:v>
                </c:pt>
                <c:pt idx="99">
                  <c:v>153</c:v>
                </c:pt>
                <c:pt idx="100">
                  <c:v>501</c:v>
                </c:pt>
                <c:pt idx="101">
                  <c:v>567</c:v>
                </c:pt>
                <c:pt idx="102">
                  <c:v>293</c:v>
                </c:pt>
                <c:pt idx="103">
                  <c:v>525</c:v>
                </c:pt>
                <c:pt idx="104" formatCode="#,##0">
                  <c:v>1368</c:v>
                </c:pt>
                <c:pt idx="105" formatCode="#,##0">
                  <c:v>3226</c:v>
                </c:pt>
                <c:pt idx="106" formatCode="#,##0">
                  <c:v>3380</c:v>
                </c:pt>
                <c:pt idx="107">
                  <c:v>853</c:v>
                </c:pt>
                <c:pt idx="108">
                  <c:v>453</c:v>
                </c:pt>
                <c:pt idx="109" formatCode="#,##0">
                  <c:v>3839</c:v>
                </c:pt>
                <c:pt idx="110">
                  <c:v>675</c:v>
                </c:pt>
                <c:pt idx="111">
                  <c:v>669</c:v>
                </c:pt>
                <c:pt idx="112">
                  <c:v>582</c:v>
                </c:pt>
                <c:pt idx="113">
                  <c:v>576</c:v>
                </c:pt>
                <c:pt idx="114" formatCode="#,##0">
                  <c:v>1267</c:v>
                </c:pt>
                <c:pt idx="115">
                  <c:v>266</c:v>
                </c:pt>
                <c:pt idx="116">
                  <c:v>591</c:v>
                </c:pt>
                <c:pt idx="117">
                  <c:v>51</c:v>
                </c:pt>
                <c:pt idx="118">
                  <c:v>514</c:v>
                </c:pt>
                <c:pt idx="119">
                  <c:v>155</c:v>
                </c:pt>
                <c:pt idx="120" formatCode="#,##0">
                  <c:v>3435</c:v>
                </c:pt>
                <c:pt idx="121" formatCode="#,##0">
                  <c:v>2559</c:v>
                </c:pt>
                <c:pt idx="122">
                  <c:v>176</c:v>
                </c:pt>
                <c:pt idx="123">
                  <c:v>357</c:v>
                </c:pt>
                <c:pt idx="124">
                  <c:v>206</c:v>
                </c:pt>
                <c:pt idx="125" formatCode="#,##0">
                  <c:v>1558</c:v>
                </c:pt>
                <c:pt idx="126">
                  <c:v>677</c:v>
                </c:pt>
                <c:pt idx="127">
                  <c:v>94</c:v>
                </c:pt>
                <c:pt idx="128">
                  <c:v>727</c:v>
                </c:pt>
                <c:pt idx="129">
                  <c:v>155</c:v>
                </c:pt>
                <c:pt idx="130">
                  <c:v>39</c:v>
                </c:pt>
                <c:pt idx="131">
                  <c:v>805</c:v>
                </c:pt>
                <c:pt idx="132">
                  <c:v>211</c:v>
                </c:pt>
                <c:pt idx="133">
                  <c:v>353</c:v>
                </c:pt>
                <c:pt idx="134">
                  <c:v>183</c:v>
                </c:pt>
                <c:pt idx="135" formatCode="#,##0">
                  <c:v>1084</c:v>
                </c:pt>
                <c:pt idx="136" formatCode="#,##0">
                  <c:v>1138</c:v>
                </c:pt>
                <c:pt idx="137">
                  <c:v>830</c:v>
                </c:pt>
                <c:pt idx="138">
                  <c:v>230</c:v>
                </c:pt>
                <c:pt idx="139">
                  <c:v>162</c:v>
                </c:pt>
                <c:pt idx="140" formatCode="#,##0">
                  <c:v>1642</c:v>
                </c:pt>
                <c:pt idx="141">
                  <c:v>223</c:v>
                </c:pt>
                <c:pt idx="142">
                  <c:v>219</c:v>
                </c:pt>
                <c:pt idx="143">
                  <c:v>587</c:v>
                </c:pt>
                <c:pt idx="144">
                  <c:v>598</c:v>
                </c:pt>
                <c:pt idx="145" formatCode="#,##0">
                  <c:v>1549</c:v>
                </c:pt>
                <c:pt idx="146" formatCode="#,##0">
                  <c:v>2628</c:v>
                </c:pt>
                <c:pt idx="147">
                  <c:v>853</c:v>
                </c:pt>
                <c:pt idx="148">
                  <c:v>129</c:v>
                </c:pt>
                <c:pt idx="149">
                  <c:v>487</c:v>
                </c:pt>
                <c:pt idx="150">
                  <c:v>886</c:v>
                </c:pt>
                <c:pt idx="151">
                  <c:v>109</c:v>
                </c:pt>
                <c:pt idx="152">
                  <c:v>161</c:v>
                </c:pt>
                <c:pt idx="153">
                  <c:v>745</c:v>
                </c:pt>
                <c:pt idx="154" formatCode="#,##0">
                  <c:v>3920</c:v>
                </c:pt>
                <c:pt idx="155">
                  <c:v>192</c:v>
                </c:pt>
                <c:pt idx="156">
                  <c:v>236</c:v>
                </c:pt>
                <c:pt idx="157">
                  <c:v>244</c:v>
                </c:pt>
                <c:pt idx="158">
                  <c:v>518</c:v>
                </c:pt>
              </c:numCache>
            </c:numRef>
          </c:yVal>
          <c:smooth val="1"/>
        </c:ser>
        <c:axId val="83644800"/>
        <c:axId val="69170304"/>
      </c:scatterChart>
      <c:valAx>
        <c:axId val="83644800"/>
        <c:scaling>
          <c:orientation val="minMax"/>
        </c:scaling>
        <c:axPos val="b"/>
        <c:majorGridlines/>
        <c:minorGridlines/>
        <c:title/>
        <c:tickLblPos val="nextTo"/>
        <c:crossAx val="69170304"/>
        <c:crosses val="autoZero"/>
        <c:crossBetween val="midCat"/>
      </c:valAx>
      <c:valAx>
        <c:axId val="69170304"/>
        <c:scaling>
          <c:orientation val="minMax"/>
        </c:scaling>
        <c:axPos val="l"/>
        <c:majorGridlines/>
        <c:minorGridlines/>
        <c:title/>
        <c:numFmt formatCode="General" sourceLinked="1"/>
        <c:tickLblPos val="nextTo"/>
        <c:crossAx val="83644800"/>
        <c:crosses val="autoZero"/>
        <c:crossBetween val="midCat"/>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USC10</b:Tag>
    <b:SourceType>JournalArticle</b:SourceType>
    <b:Guid>{995FC5B1-BF81-4A11-8435-C32BA4FE4E51}</b:Guid>
    <b:LCID>0</b:LCID>
    <b:Author>
      <b:Author>
        <b:Corporate>US Census Bureau</b:Corporate>
      </b:Author>
    </b:Author>
    <b:Title>Social and Economic Data</b:Title>
    <b:JournalName>United States Census Bureau</b:JournalName>
    <b:Year>2010</b:Year>
    <b:Pages>1</b:Pages>
    <b:RefOrder>1</b:RefOrder>
  </b:Source>
</b:Sources>
</file>

<file path=customXml/itemProps1.xml><?xml version="1.0" encoding="utf-8"?>
<ds:datastoreItem xmlns:ds="http://schemas.openxmlformats.org/officeDocument/2006/customXml" ds:itemID="{CD50E3E3-D5BD-4A5B-A013-03329E018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kochulem</dc:creator>
  <cp:lastModifiedBy>kochulem</cp:lastModifiedBy>
  <cp:revision>28</cp:revision>
  <dcterms:created xsi:type="dcterms:W3CDTF">2019-08-21T14:54:00Z</dcterms:created>
  <dcterms:modified xsi:type="dcterms:W3CDTF">2019-08-21T16:48:00Z</dcterms:modified>
</cp:coreProperties>
</file>