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8520B" w:rsidP="0098520B" w14:paraId="2AC6ABA4" w14:textId="65F73759">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djshirey\OneDrive - University of Phoenix\F_Drive\Style Guides\UPX Logos\Horizontal format\UOPX_Sig_Hor_Black_Medium.pn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0F0903" w:rsidP="00776416" w14:paraId="00C6AE8D" w14:textId="5FB05492">
      <w:pPr>
        <w:pStyle w:val="Title"/>
      </w:pPr>
      <w:r w:rsidRPr="00090B99">
        <w:t>Terminology and Stakeholders</w:t>
      </w:r>
    </w:p>
    <w:p w:rsidR="00AB1EBC" w:rsidP="00AB1EBC" w14:paraId="3EF8ECE8" w14:textId="2D9E2BB9">
      <w:r w:rsidRPr="00090B99">
        <w:rPr>
          <w:b/>
        </w:rPr>
        <w:t xml:space="preserve">Define </w:t>
      </w:r>
      <w:r w:rsidRPr="00090B99">
        <w:t>the following terms using your text or other resources. Cite all resources according to APA guidelines</w:t>
      </w:r>
      <w:r>
        <w:t xml:space="preserve">. </w:t>
      </w:r>
    </w:p>
    <w:p w:rsidR="007F4E3B" w:rsidP="00AB1EBC" w14:paraId="2C38DC53" w14:textId="01F279FF">
      <w:r>
        <w:t>30</w:t>
      </w:r>
      <w:r w:rsidR="00187011">
        <w:t xml:space="preserve"> points</w:t>
      </w:r>
      <w:r w:rsidR="00610F20">
        <w:t>:</w:t>
      </w:r>
      <w:r w:rsidR="00187011">
        <w:t xml:space="preserve"> </w:t>
      </w:r>
      <w:r>
        <w:t>1</w:t>
      </w:r>
      <w:r w:rsidR="00610F20">
        <w:t xml:space="preserve"> point</w:t>
      </w:r>
      <w:r w:rsidR="001B4CFD">
        <w:t xml:space="preserve"> for </w:t>
      </w:r>
      <w:r w:rsidR="00610F20">
        <w:t xml:space="preserve">the </w:t>
      </w:r>
      <w:r w:rsidR="001B4CFD">
        <w:t xml:space="preserve">definition, 1 </w:t>
      </w:r>
      <w:r>
        <w:t xml:space="preserve">point </w:t>
      </w:r>
      <w:r w:rsidR="001B4CFD">
        <w:t xml:space="preserve">for </w:t>
      </w:r>
      <w:r>
        <w:t xml:space="preserve">the </w:t>
      </w:r>
      <w:r w:rsidR="001B4CFD">
        <w:t>resource</w:t>
      </w:r>
      <w:r w:rsidR="00D33014">
        <w:t xml:space="preserve"> </w:t>
      </w:r>
    </w:p>
    <w:p w:rsidR="00855907" w:rsidP="00AB1EBC" w14:paraId="5DE98020" w14:textId="0BE1C714">
      <w:r w:rsidRPr="00201A34">
        <w:rPr>
          <w:i/>
          <w:iCs/>
        </w:rPr>
        <w:t>Note</w:t>
      </w:r>
      <w:r>
        <w:t xml:space="preserve">: </w:t>
      </w:r>
      <w:r w:rsidR="00D33014">
        <w:t>Resources</w:t>
      </w:r>
      <w:r>
        <w:t xml:space="preserve"> are</w:t>
      </w:r>
      <w:r w:rsidR="00D33014">
        <w:t xml:space="preserve"> required to earn full points. </w:t>
      </w:r>
    </w:p>
    <w:tbl>
      <w:tblPr>
        <w:tblStyle w:val="TableGrid"/>
        <w:tblCaption w:val="terminology"/>
        <w:tblDescription w:val="table for terms, definitions, and resources used"/>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3248"/>
        <w:gridCol w:w="4851"/>
        <w:gridCol w:w="4851"/>
      </w:tblGrid>
      <w:tr w14:paraId="3E4E50BA" w14:textId="77777777" w:rsidTr="000003B4">
        <w:tblPrEx>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Ex>
        <w:trPr>
          <w:tblHeader/>
        </w:trPr>
        <w:tc>
          <w:tcPr>
            <w:tcW w:w="1254" w:type="pct"/>
            <w:shd w:val="clear" w:color="auto" w:fill="EDEDED" w:themeFill="accent5"/>
            <w:vAlign w:val="center"/>
          </w:tcPr>
          <w:p w:rsidR="000003B4" w:rsidRPr="00776416" w:rsidP="000003B4" w14:paraId="7FD85D1A" w14:textId="28439259">
            <w:pPr>
              <w:spacing w:after="0"/>
            </w:pPr>
            <w:r w:rsidRPr="000003B4">
              <w:t>Term</w:t>
            </w:r>
          </w:p>
        </w:tc>
        <w:tc>
          <w:tcPr>
            <w:tcW w:w="1873" w:type="pct"/>
            <w:shd w:val="clear" w:color="auto" w:fill="EDEDED" w:themeFill="accent5"/>
            <w:vAlign w:val="center"/>
          </w:tcPr>
          <w:p w:rsidR="000003B4" w:rsidRPr="00776416" w:rsidP="00477F69" w14:paraId="2A78B53E" w14:textId="33FF0F37">
            <w:pPr>
              <w:spacing w:after="0"/>
              <w:jc w:val="center"/>
            </w:pPr>
            <w:r w:rsidRPr="000003B4">
              <w:t>Definition</w:t>
            </w:r>
          </w:p>
        </w:tc>
        <w:tc>
          <w:tcPr>
            <w:tcW w:w="1873" w:type="pct"/>
            <w:shd w:val="clear" w:color="auto" w:fill="EDEDED" w:themeFill="accent5"/>
            <w:vAlign w:val="center"/>
          </w:tcPr>
          <w:p w:rsidR="000003B4" w:rsidRPr="00C7408B" w:rsidP="00477F69" w14:paraId="293DCE9D" w14:textId="6CEACA70">
            <w:pPr>
              <w:spacing w:after="0"/>
              <w:jc w:val="center"/>
            </w:pPr>
            <w:r w:rsidRPr="000003B4">
              <w:t>Resource</w:t>
            </w:r>
            <w:r w:rsidR="00B86A4B">
              <w:t>(s)</w:t>
            </w:r>
            <w:r w:rsidRPr="000003B4">
              <w:t xml:space="preserve"> Used</w:t>
            </w:r>
          </w:p>
        </w:tc>
      </w:tr>
      <w:tr w14:paraId="04CDDBC6"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5D7BC6A3" w14:textId="441FB7C7">
            <w:pPr>
              <w:spacing w:after="0"/>
              <w:rPr>
                <w:color w:val="4D3733"/>
              </w:rPr>
            </w:pPr>
            <w:r w:rsidRPr="000003B4">
              <w:rPr>
                <w:color w:val="4D3733"/>
              </w:rPr>
              <w:t>Time value of money</w:t>
            </w:r>
          </w:p>
        </w:tc>
        <w:tc>
          <w:tcPr>
            <w:tcW w:w="1873" w:type="pct"/>
            <w:vAlign w:val="center"/>
          </w:tcPr>
          <w:p w:rsidR="000003B4" w:rsidRPr="00776416" w:rsidP="000003B4" w14:paraId="70803799" w14:textId="5C6B6501">
            <w:pPr>
              <w:spacing w:after="0"/>
            </w:pPr>
            <w:r>
              <w:t>It is a concept arguing that the money a person has at the moment is worth more than an identical amount he may have in the future.</w:t>
            </w:r>
          </w:p>
        </w:tc>
        <w:tc>
          <w:tcPr>
            <w:tcW w:w="1873" w:type="pct"/>
          </w:tcPr>
          <w:p w:rsidR="000003B4" w:rsidRPr="00776416" w:rsidP="000003B4" w14:paraId="0DA77613" w14:textId="426154A9">
            <w:pPr>
              <w:spacing w:after="0"/>
            </w:pPr>
            <w:r>
              <w:rPr>
                <w:rFonts w:cs="Arial"/>
                <w:color w:val="222222"/>
                <w:szCs w:val="20"/>
                <w:shd w:val="clear" w:color="auto" w:fill="FFFFFF"/>
              </w:rPr>
              <w:t>Kahn, M. J., &amp; Baum, N. (2020). Time Value of Money, or What Is the Real Financial Value of an Opportunity?. In </w:t>
            </w:r>
            <w:r>
              <w:rPr>
                <w:rFonts w:cs="Arial"/>
                <w:i/>
                <w:iCs/>
                <w:color w:val="222222"/>
                <w:szCs w:val="20"/>
                <w:shd w:val="clear" w:color="auto" w:fill="FFFFFF"/>
              </w:rPr>
              <w:t>The Business Basics of Building and Managing a Healthcare Practice</w:t>
            </w:r>
            <w:r>
              <w:rPr>
                <w:rFonts w:cs="Arial"/>
                <w:color w:val="222222"/>
                <w:szCs w:val="20"/>
                <w:shd w:val="clear" w:color="auto" w:fill="FFFFFF"/>
              </w:rPr>
              <w:t> (pp. 9-12). Springer, Cham.</w:t>
            </w:r>
          </w:p>
        </w:tc>
      </w:tr>
      <w:tr w14:paraId="2E86BDA3"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6874F2AD" w14:textId="0FDA379F">
            <w:pPr>
              <w:spacing w:after="0"/>
              <w:rPr>
                <w:color w:val="4D3733"/>
              </w:rPr>
            </w:pPr>
            <w:r w:rsidRPr="000003B4">
              <w:rPr>
                <w:color w:val="4D3733"/>
              </w:rPr>
              <w:t>Efficient market</w:t>
            </w:r>
          </w:p>
        </w:tc>
        <w:tc>
          <w:tcPr>
            <w:tcW w:w="1873" w:type="pct"/>
            <w:vAlign w:val="center"/>
          </w:tcPr>
          <w:p w:rsidR="000003B4" w:rsidRPr="00776416" w:rsidP="000003B4" w14:paraId="698EB614" w14:textId="3371203B">
            <w:pPr>
              <w:spacing w:after="0"/>
            </w:pPr>
            <w:r>
              <w:t>It is a market where prices reflect all the relevant and available information that is already incorporated into prices.</w:t>
            </w:r>
          </w:p>
        </w:tc>
        <w:tc>
          <w:tcPr>
            <w:tcW w:w="1873" w:type="pct"/>
          </w:tcPr>
          <w:p w:rsidR="000003B4" w:rsidRPr="00776416" w:rsidP="000003B4" w14:paraId="2350DAD8" w14:textId="0391E581">
            <w:pPr>
              <w:spacing w:after="0"/>
            </w:pPr>
            <w:r>
              <w:rPr>
                <w:rFonts w:cs="Arial"/>
                <w:color w:val="222222"/>
                <w:szCs w:val="20"/>
                <w:shd w:val="clear" w:color="auto" w:fill="FFFFFF"/>
              </w:rPr>
              <w:t>Sánchez-</w:t>
            </w:r>
            <w:r>
              <w:rPr>
                <w:rFonts w:cs="Arial"/>
                <w:color w:val="222222"/>
                <w:szCs w:val="20"/>
                <w:shd w:val="clear" w:color="auto" w:fill="FFFFFF"/>
              </w:rPr>
              <w:t>Granero</w:t>
            </w:r>
            <w:r>
              <w:rPr>
                <w:rFonts w:cs="Arial"/>
                <w:color w:val="222222"/>
                <w:szCs w:val="20"/>
                <w:shd w:val="clear" w:color="auto" w:fill="FFFFFF"/>
              </w:rPr>
              <w:t xml:space="preserve">, M. A., </w:t>
            </w:r>
            <w:r>
              <w:rPr>
                <w:rFonts w:cs="Arial"/>
                <w:color w:val="222222"/>
                <w:szCs w:val="20"/>
                <w:shd w:val="clear" w:color="auto" w:fill="FFFFFF"/>
              </w:rPr>
              <w:t>Balladares</w:t>
            </w:r>
            <w:r>
              <w:rPr>
                <w:rFonts w:cs="Arial"/>
                <w:color w:val="222222"/>
                <w:szCs w:val="20"/>
                <w:shd w:val="clear" w:color="auto" w:fill="FFFFFF"/>
              </w:rPr>
              <w:t>, K. A., Ramos-</w:t>
            </w:r>
            <w:r>
              <w:rPr>
                <w:rFonts w:cs="Arial"/>
                <w:color w:val="222222"/>
                <w:szCs w:val="20"/>
                <w:shd w:val="clear" w:color="auto" w:fill="FFFFFF"/>
              </w:rPr>
              <w:t>Requena</w:t>
            </w:r>
            <w:r>
              <w:rPr>
                <w:rFonts w:cs="Arial"/>
                <w:color w:val="222222"/>
                <w:szCs w:val="20"/>
                <w:shd w:val="clear" w:color="auto" w:fill="FFFFFF"/>
              </w:rPr>
              <w:t>, J. P., &amp; Trinidad-Segovia, J. E. (2020). Testing the efficient market hypothesis in Latin American stock markets. </w:t>
            </w:r>
            <w:r>
              <w:rPr>
                <w:rFonts w:cs="Arial"/>
                <w:i/>
                <w:iCs/>
                <w:color w:val="222222"/>
                <w:szCs w:val="20"/>
                <w:shd w:val="clear" w:color="auto" w:fill="FFFFFF"/>
              </w:rPr>
              <w:t>Physica</w:t>
            </w:r>
            <w:r>
              <w:rPr>
                <w:rFonts w:cs="Arial"/>
                <w:i/>
                <w:iCs/>
                <w:color w:val="222222"/>
                <w:szCs w:val="20"/>
                <w:shd w:val="clear" w:color="auto" w:fill="FFFFFF"/>
              </w:rPr>
              <w:t xml:space="preserve"> A: Statistical Mechanics and its Applications</w:t>
            </w:r>
            <w:r>
              <w:rPr>
                <w:rFonts w:cs="Arial"/>
                <w:color w:val="222222"/>
                <w:szCs w:val="20"/>
                <w:shd w:val="clear" w:color="auto" w:fill="FFFFFF"/>
              </w:rPr>
              <w:t>, </w:t>
            </w:r>
            <w:r>
              <w:rPr>
                <w:rFonts w:cs="Arial"/>
                <w:i/>
                <w:iCs/>
                <w:color w:val="222222"/>
                <w:szCs w:val="20"/>
                <w:shd w:val="clear" w:color="auto" w:fill="FFFFFF"/>
              </w:rPr>
              <w:t>540</w:t>
            </w:r>
            <w:r>
              <w:rPr>
                <w:rFonts w:cs="Arial"/>
                <w:color w:val="222222"/>
                <w:szCs w:val="20"/>
                <w:shd w:val="clear" w:color="auto" w:fill="FFFFFF"/>
              </w:rPr>
              <w:t>, 123082.</w:t>
            </w:r>
          </w:p>
        </w:tc>
      </w:tr>
      <w:tr w14:paraId="509F20E1"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0225F0F5" w14:textId="41947892">
            <w:pPr>
              <w:spacing w:after="0"/>
              <w:rPr>
                <w:color w:val="4D3733"/>
              </w:rPr>
            </w:pPr>
            <w:r w:rsidRPr="000003B4">
              <w:rPr>
                <w:color w:val="4D3733"/>
              </w:rPr>
              <w:t>Primary versus secondary market</w:t>
            </w:r>
          </w:p>
        </w:tc>
        <w:tc>
          <w:tcPr>
            <w:tcW w:w="1873" w:type="pct"/>
            <w:vAlign w:val="center"/>
          </w:tcPr>
          <w:p w:rsidR="000003B4" w:rsidRPr="00776416" w:rsidP="000003B4" w14:paraId="04999936" w14:textId="2C422D4B">
            <w:pPr>
              <w:spacing w:after="0"/>
            </w:pPr>
            <w:r>
              <w:t>A primary market is a market where security</w:t>
            </w:r>
            <w:r w:rsidR="002756E2">
              <w:t xml:space="preserve"> is sold when its first issued and sold to the investors while a secondary market is a market where subsequent trading takes place and individual investors trade among themselves.</w:t>
            </w:r>
          </w:p>
        </w:tc>
        <w:tc>
          <w:tcPr>
            <w:tcW w:w="1873" w:type="pct"/>
          </w:tcPr>
          <w:p w:rsidR="000003B4" w:rsidRPr="00776416" w:rsidP="000003B4" w14:paraId="3E15DA7B" w14:textId="7A3EEFA7">
            <w:pPr>
              <w:spacing w:after="0"/>
            </w:pPr>
            <w:r>
              <w:rPr>
                <w:rFonts w:cs="Arial"/>
                <w:color w:val="222222"/>
                <w:szCs w:val="20"/>
                <w:shd w:val="clear" w:color="auto" w:fill="FFFFFF"/>
              </w:rPr>
              <w:t>Goldstein, M. A., Hotchkiss, E. S., &amp; Pedersen, D. J. (2019). Secondary market liquidity and primary market pricing of corporate bonds. </w:t>
            </w:r>
            <w:r>
              <w:rPr>
                <w:rFonts w:cs="Arial"/>
                <w:i/>
                <w:iCs/>
                <w:color w:val="222222"/>
                <w:szCs w:val="20"/>
                <w:shd w:val="clear" w:color="auto" w:fill="FFFFFF"/>
              </w:rPr>
              <w:t>Journal of Risk and Financial Management</w:t>
            </w:r>
            <w:r>
              <w:rPr>
                <w:rFonts w:cs="Arial"/>
                <w:color w:val="222222"/>
                <w:szCs w:val="20"/>
                <w:shd w:val="clear" w:color="auto" w:fill="FFFFFF"/>
              </w:rPr>
              <w:t>, </w:t>
            </w:r>
            <w:r>
              <w:rPr>
                <w:rFonts w:cs="Arial"/>
                <w:i/>
                <w:iCs/>
                <w:color w:val="222222"/>
                <w:szCs w:val="20"/>
                <w:shd w:val="clear" w:color="auto" w:fill="FFFFFF"/>
              </w:rPr>
              <w:t>12</w:t>
            </w:r>
            <w:r>
              <w:rPr>
                <w:rFonts w:cs="Arial"/>
                <w:color w:val="222222"/>
                <w:szCs w:val="20"/>
                <w:shd w:val="clear" w:color="auto" w:fill="FFFFFF"/>
              </w:rPr>
              <w:t>(2), 86.</w:t>
            </w:r>
          </w:p>
        </w:tc>
      </w:tr>
      <w:tr w14:paraId="5948375B"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600EAF74" w14:textId="77E26083">
            <w:pPr>
              <w:spacing w:after="0"/>
              <w:rPr>
                <w:color w:val="4D3733"/>
              </w:rPr>
            </w:pPr>
            <w:r w:rsidRPr="000003B4">
              <w:rPr>
                <w:color w:val="4D3733"/>
              </w:rPr>
              <w:t>Risk-return tradeoff</w:t>
            </w:r>
          </w:p>
        </w:tc>
        <w:tc>
          <w:tcPr>
            <w:tcW w:w="1873" w:type="pct"/>
            <w:vAlign w:val="center"/>
          </w:tcPr>
          <w:p w:rsidR="000003B4" w:rsidRPr="00776416" w:rsidP="000003B4" w14:paraId="2E6DD6EC" w14:textId="7E1DB082">
            <w:pPr>
              <w:spacing w:after="0"/>
            </w:pPr>
            <w:r>
              <w:t>It’s a tradeoff stating that the potential return increases with a rise in risk.</w:t>
            </w:r>
          </w:p>
        </w:tc>
        <w:tc>
          <w:tcPr>
            <w:tcW w:w="1873" w:type="pct"/>
          </w:tcPr>
          <w:p w:rsidR="000003B4" w:rsidRPr="00776416" w:rsidP="000003B4" w14:paraId="46DAF726" w14:textId="45228BCE">
            <w:pPr>
              <w:spacing w:after="0"/>
            </w:pPr>
            <w:r>
              <w:rPr>
                <w:rFonts w:cs="Arial"/>
                <w:color w:val="222222"/>
                <w:szCs w:val="20"/>
                <w:shd w:val="clear" w:color="auto" w:fill="FFFFFF"/>
              </w:rPr>
              <w:t>Barroso, P., &amp; Maio, P. F. (2019). The risk-return tradeoff among equity factors. </w:t>
            </w:r>
            <w:r>
              <w:rPr>
                <w:rFonts w:cs="Arial"/>
                <w:i/>
                <w:iCs/>
                <w:color w:val="222222"/>
                <w:szCs w:val="20"/>
                <w:shd w:val="clear" w:color="auto" w:fill="FFFFFF"/>
              </w:rPr>
              <w:t>Available at SSRN 2909085</w:t>
            </w:r>
            <w:r>
              <w:rPr>
                <w:rFonts w:cs="Arial"/>
                <w:color w:val="222222"/>
                <w:szCs w:val="20"/>
                <w:shd w:val="clear" w:color="auto" w:fill="FFFFFF"/>
              </w:rPr>
              <w:t>.</w:t>
            </w:r>
          </w:p>
        </w:tc>
      </w:tr>
      <w:tr w14:paraId="530B001E"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28027163" w14:textId="429D7BDF">
            <w:pPr>
              <w:spacing w:after="0"/>
              <w:rPr>
                <w:color w:val="4D3733"/>
              </w:rPr>
            </w:pPr>
            <w:r w:rsidRPr="000003B4">
              <w:rPr>
                <w:color w:val="4D3733"/>
              </w:rPr>
              <w:t>Agency (principal and agent problems)</w:t>
            </w:r>
          </w:p>
        </w:tc>
        <w:tc>
          <w:tcPr>
            <w:tcW w:w="1873" w:type="pct"/>
            <w:vAlign w:val="center"/>
          </w:tcPr>
          <w:p w:rsidR="000003B4" w:rsidRPr="00776416" w:rsidP="000003B4" w14:paraId="00C4A31C" w14:textId="4818985A">
            <w:pPr>
              <w:spacing w:after="0"/>
            </w:pPr>
            <w:r>
              <w:t>An agency is a party that acts in a way that is contrary to the interests of the principal.</w:t>
            </w:r>
          </w:p>
        </w:tc>
        <w:tc>
          <w:tcPr>
            <w:tcW w:w="1873" w:type="pct"/>
          </w:tcPr>
          <w:p w:rsidR="000003B4" w:rsidRPr="00776416" w:rsidP="000003B4" w14:paraId="12B208DF" w14:textId="5234C60A">
            <w:pPr>
              <w:spacing w:after="0"/>
            </w:pPr>
            <w:r>
              <w:rPr>
                <w:rFonts w:cs="Arial"/>
                <w:color w:val="222222"/>
                <w:szCs w:val="20"/>
                <w:shd w:val="clear" w:color="auto" w:fill="FFFFFF"/>
              </w:rPr>
              <w:t>Koyama, S. K. (2019). Reducing agency problems in incorporated land groups.</w:t>
            </w:r>
          </w:p>
        </w:tc>
      </w:tr>
      <w:tr w14:paraId="320E4DA2"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35E1BF71" w14:textId="2EA604A3">
            <w:pPr>
              <w:spacing w:after="0"/>
              <w:rPr>
                <w:color w:val="4D3733"/>
              </w:rPr>
            </w:pPr>
            <w:r w:rsidRPr="000003B4">
              <w:rPr>
                <w:color w:val="4D3733"/>
              </w:rPr>
              <w:t>Market information and security prices and information asymmetry</w:t>
            </w:r>
          </w:p>
        </w:tc>
        <w:tc>
          <w:tcPr>
            <w:tcW w:w="1873" w:type="pct"/>
            <w:vAlign w:val="center"/>
          </w:tcPr>
          <w:p w:rsidR="000003B4" w:rsidRPr="00776416" w:rsidP="000003B4" w14:paraId="307A1C4E" w14:textId="397D206F">
            <w:pPr>
              <w:spacing w:after="0"/>
            </w:pPr>
            <w:r>
              <w:t>It is a concept arguing that market information changes the security prices in an efficient market and that information asymmetry prevents the market from becoming efficient.</w:t>
            </w:r>
          </w:p>
        </w:tc>
        <w:tc>
          <w:tcPr>
            <w:tcW w:w="1873" w:type="pct"/>
          </w:tcPr>
          <w:p w:rsidR="000003B4" w:rsidRPr="00776416" w:rsidP="000003B4" w14:paraId="579CB666" w14:textId="1B31237A">
            <w:pPr>
              <w:spacing w:after="0"/>
            </w:pPr>
            <w:r>
              <w:rPr>
                <w:rFonts w:cs="Arial"/>
                <w:color w:val="222222"/>
                <w:szCs w:val="20"/>
                <w:shd w:val="clear" w:color="auto" w:fill="FFFFFF"/>
              </w:rPr>
              <w:t xml:space="preserve">Bergh, D. D., </w:t>
            </w:r>
            <w:r>
              <w:rPr>
                <w:rFonts w:cs="Arial"/>
                <w:color w:val="222222"/>
                <w:szCs w:val="20"/>
                <w:shd w:val="clear" w:color="auto" w:fill="FFFFFF"/>
              </w:rPr>
              <w:t>Ketchen</w:t>
            </w:r>
            <w:r>
              <w:rPr>
                <w:rFonts w:cs="Arial"/>
                <w:color w:val="222222"/>
                <w:szCs w:val="20"/>
                <w:shd w:val="clear" w:color="auto" w:fill="FFFFFF"/>
              </w:rPr>
              <w:t xml:space="preserve"> Jr, D. J., </w:t>
            </w:r>
            <w:r>
              <w:rPr>
                <w:rFonts w:cs="Arial"/>
                <w:color w:val="222222"/>
                <w:szCs w:val="20"/>
                <w:shd w:val="clear" w:color="auto" w:fill="FFFFFF"/>
              </w:rPr>
              <w:t>Orlandi</w:t>
            </w:r>
            <w:r>
              <w:rPr>
                <w:rFonts w:cs="Arial"/>
                <w:color w:val="222222"/>
                <w:szCs w:val="20"/>
                <w:shd w:val="clear" w:color="auto" w:fill="FFFFFF"/>
              </w:rPr>
              <w:t xml:space="preserve">, I., </w:t>
            </w:r>
            <w:r>
              <w:rPr>
                <w:rFonts w:cs="Arial"/>
                <w:color w:val="222222"/>
                <w:szCs w:val="20"/>
                <w:shd w:val="clear" w:color="auto" w:fill="FFFFFF"/>
              </w:rPr>
              <w:t>Heugens</w:t>
            </w:r>
            <w:r>
              <w:rPr>
                <w:rFonts w:cs="Arial"/>
                <w:color w:val="222222"/>
                <w:szCs w:val="20"/>
                <w:shd w:val="clear" w:color="auto" w:fill="FFFFFF"/>
              </w:rPr>
              <w:t>, P. P., &amp; Boyd, B. K. (2019). Information asymmetry in management research: Past accomplishments and future opportunities. </w:t>
            </w:r>
            <w:r>
              <w:rPr>
                <w:rFonts w:cs="Arial"/>
                <w:i/>
                <w:iCs/>
                <w:color w:val="222222"/>
                <w:szCs w:val="20"/>
                <w:shd w:val="clear" w:color="auto" w:fill="FFFFFF"/>
              </w:rPr>
              <w:t>Journal of Management</w:t>
            </w:r>
            <w:r>
              <w:rPr>
                <w:rFonts w:cs="Arial"/>
                <w:color w:val="222222"/>
                <w:szCs w:val="20"/>
                <w:shd w:val="clear" w:color="auto" w:fill="FFFFFF"/>
              </w:rPr>
              <w:t>, </w:t>
            </w:r>
            <w:r>
              <w:rPr>
                <w:rFonts w:cs="Arial"/>
                <w:i/>
                <w:iCs/>
                <w:color w:val="222222"/>
                <w:szCs w:val="20"/>
                <w:shd w:val="clear" w:color="auto" w:fill="FFFFFF"/>
              </w:rPr>
              <w:t>45</w:t>
            </w:r>
            <w:r>
              <w:rPr>
                <w:rFonts w:cs="Arial"/>
                <w:color w:val="222222"/>
                <w:szCs w:val="20"/>
                <w:shd w:val="clear" w:color="auto" w:fill="FFFFFF"/>
              </w:rPr>
              <w:t>(1), 122-158.</w:t>
            </w:r>
          </w:p>
        </w:tc>
      </w:tr>
      <w:tr w14:paraId="44EC8A8F"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1AD1A4F9" w14:textId="320CA6E6">
            <w:pPr>
              <w:spacing w:after="0"/>
              <w:rPr>
                <w:color w:val="4D3733"/>
              </w:rPr>
            </w:pPr>
            <w:r w:rsidRPr="000003B4">
              <w:rPr>
                <w:color w:val="4D3733"/>
              </w:rPr>
              <w:t>Agile and lean principles</w:t>
            </w:r>
          </w:p>
        </w:tc>
        <w:tc>
          <w:tcPr>
            <w:tcW w:w="1873" w:type="pct"/>
            <w:vAlign w:val="center"/>
          </w:tcPr>
          <w:p w:rsidR="000003B4" w:rsidRPr="00776416" w:rsidP="000003B4" w14:paraId="77B2A44B" w14:textId="3175E19B">
            <w:pPr>
              <w:spacing w:after="0"/>
            </w:pPr>
            <w:r>
              <w:t xml:space="preserve">Agile principles </w:t>
            </w:r>
            <w:r w:rsidR="008E3E2A">
              <w:t>manage</w:t>
            </w:r>
            <w:r>
              <w:t xml:space="preserve"> teams by handling the flow of work in cross-functional teams on one repetition at a time while lean principle motivates teams to deliver fast by handling flow, and limiting the amount of work in the process.</w:t>
            </w:r>
          </w:p>
        </w:tc>
        <w:tc>
          <w:tcPr>
            <w:tcW w:w="1873" w:type="pct"/>
          </w:tcPr>
          <w:p w:rsidR="000003B4" w:rsidRPr="00776416" w:rsidP="000003B4" w14:paraId="1B55C829" w14:textId="1460B830">
            <w:pPr>
              <w:spacing w:after="0"/>
            </w:pPr>
            <w:r>
              <w:rPr>
                <w:rFonts w:cs="Arial"/>
                <w:color w:val="222222"/>
                <w:szCs w:val="20"/>
                <w:shd w:val="clear" w:color="auto" w:fill="FFFFFF"/>
              </w:rPr>
              <w:t>Parsons, D., &amp; MacCallum, K. (Eds.). (2018). </w:t>
            </w:r>
            <w:r>
              <w:rPr>
                <w:rFonts w:cs="Arial"/>
                <w:i/>
                <w:iCs/>
                <w:color w:val="222222"/>
                <w:szCs w:val="20"/>
                <w:shd w:val="clear" w:color="auto" w:fill="FFFFFF"/>
              </w:rPr>
              <w:t>Agile and lean concepts for teaching and learning: Bringing methodologies from industry to the classroom</w:t>
            </w:r>
            <w:r>
              <w:rPr>
                <w:rFonts w:cs="Arial"/>
                <w:color w:val="222222"/>
                <w:szCs w:val="20"/>
                <w:shd w:val="clear" w:color="auto" w:fill="FFFFFF"/>
              </w:rPr>
              <w:t>. Springer.</w:t>
            </w:r>
          </w:p>
        </w:tc>
      </w:tr>
      <w:tr w14:paraId="7375BAD7"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502D31CD" w14:textId="2A6B9C8C">
            <w:pPr>
              <w:spacing w:after="0"/>
              <w:rPr>
                <w:color w:val="4D3733"/>
              </w:rPr>
            </w:pPr>
            <w:r w:rsidRPr="000003B4">
              <w:rPr>
                <w:color w:val="4D3733"/>
              </w:rPr>
              <w:t>Return on investment</w:t>
            </w:r>
          </w:p>
        </w:tc>
        <w:tc>
          <w:tcPr>
            <w:tcW w:w="1873" w:type="pct"/>
            <w:vAlign w:val="center"/>
          </w:tcPr>
          <w:p w:rsidR="000003B4" w:rsidRPr="00776416" w:rsidP="000003B4" w14:paraId="70DC5C76" w14:textId="0E7789F7">
            <w:pPr>
              <w:spacing w:after="0"/>
            </w:pPr>
            <w:r>
              <w:t>It is a performance measure that evaluates the value</w:t>
            </w:r>
            <w:r w:rsidR="008E3E2A">
              <w:t xml:space="preserve"> and efficiency of an investment compared to the number of investments.</w:t>
            </w:r>
          </w:p>
        </w:tc>
        <w:tc>
          <w:tcPr>
            <w:tcW w:w="1873" w:type="pct"/>
          </w:tcPr>
          <w:p w:rsidR="000003B4" w:rsidRPr="00776416" w:rsidP="000003B4" w14:paraId="50D416A6" w14:textId="04C2EFD6">
            <w:pPr>
              <w:spacing w:after="0"/>
            </w:pPr>
            <w:r>
              <w:rPr>
                <w:rFonts w:cs="Arial"/>
                <w:color w:val="222222"/>
                <w:szCs w:val="20"/>
                <w:shd w:val="clear" w:color="auto" w:fill="FFFFFF"/>
              </w:rPr>
              <w:t>Gould, D. J., &amp; Nazarian, S. (2018). Social media return on investment: how much is it worth to my practice?. </w:t>
            </w:r>
            <w:r>
              <w:rPr>
                <w:rFonts w:cs="Arial"/>
                <w:i/>
                <w:iCs/>
                <w:color w:val="222222"/>
                <w:szCs w:val="20"/>
                <w:shd w:val="clear" w:color="auto" w:fill="FFFFFF"/>
              </w:rPr>
              <w:t>Aesthetic surgery journal</w:t>
            </w:r>
            <w:r>
              <w:rPr>
                <w:rFonts w:cs="Arial"/>
                <w:color w:val="222222"/>
                <w:szCs w:val="20"/>
                <w:shd w:val="clear" w:color="auto" w:fill="FFFFFF"/>
              </w:rPr>
              <w:t>, </w:t>
            </w:r>
            <w:r>
              <w:rPr>
                <w:rFonts w:cs="Arial"/>
                <w:i/>
                <w:iCs/>
                <w:color w:val="222222"/>
                <w:szCs w:val="20"/>
                <w:shd w:val="clear" w:color="auto" w:fill="FFFFFF"/>
              </w:rPr>
              <w:t>38</w:t>
            </w:r>
            <w:r>
              <w:rPr>
                <w:rFonts w:cs="Arial"/>
                <w:color w:val="222222"/>
                <w:szCs w:val="20"/>
                <w:shd w:val="clear" w:color="auto" w:fill="FFFFFF"/>
              </w:rPr>
              <w:t>(5), 565-574.</w:t>
            </w:r>
          </w:p>
        </w:tc>
      </w:tr>
      <w:tr w14:paraId="1429265E"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1ECC07E1" w14:textId="7D617C46">
            <w:pPr>
              <w:spacing w:after="0"/>
              <w:rPr>
                <w:color w:val="4D3733"/>
              </w:rPr>
            </w:pPr>
            <w:r w:rsidRPr="000003B4">
              <w:rPr>
                <w:color w:val="4D3733"/>
              </w:rPr>
              <w:t>Cash flow and a source of value</w:t>
            </w:r>
          </w:p>
        </w:tc>
        <w:tc>
          <w:tcPr>
            <w:tcW w:w="1873" w:type="pct"/>
            <w:vAlign w:val="center"/>
          </w:tcPr>
          <w:p w:rsidR="000003B4" w:rsidRPr="00776416" w:rsidP="000003B4" w14:paraId="14570C9F" w14:textId="374AD83D">
            <w:pPr>
              <w:spacing w:after="0"/>
            </w:pPr>
            <w:r>
              <w:t>Cashflow is a real-time or virtual movement of money while the source of value refers to a combination of guides to decision-making for beginners regarding finances.</w:t>
            </w:r>
          </w:p>
        </w:tc>
        <w:tc>
          <w:tcPr>
            <w:tcW w:w="1873" w:type="pct"/>
          </w:tcPr>
          <w:p w:rsidR="000003B4" w:rsidRPr="00776416" w:rsidP="000003B4" w14:paraId="6A8BE6FB" w14:textId="63168D97">
            <w:pPr>
              <w:spacing w:after="0"/>
            </w:pPr>
            <w:r>
              <w:rPr>
                <w:rFonts w:cs="Arial"/>
                <w:color w:val="222222"/>
                <w:szCs w:val="20"/>
                <w:shd w:val="clear" w:color="auto" w:fill="FFFFFF"/>
              </w:rPr>
              <w:t>Kalaignanam</w:t>
            </w:r>
            <w:r>
              <w:rPr>
                <w:rFonts w:cs="Arial"/>
                <w:color w:val="222222"/>
                <w:szCs w:val="20"/>
                <w:shd w:val="clear" w:color="auto" w:fill="FFFFFF"/>
              </w:rPr>
              <w:t xml:space="preserve">, K., Kushwaha, T., &amp; </w:t>
            </w:r>
            <w:r>
              <w:rPr>
                <w:rFonts w:cs="Arial"/>
                <w:color w:val="222222"/>
                <w:szCs w:val="20"/>
                <w:shd w:val="clear" w:color="auto" w:fill="FFFFFF"/>
              </w:rPr>
              <w:t>Rajavi</w:t>
            </w:r>
            <w:r>
              <w:rPr>
                <w:rFonts w:cs="Arial"/>
                <w:color w:val="222222"/>
                <w:szCs w:val="20"/>
                <w:shd w:val="clear" w:color="auto" w:fill="FFFFFF"/>
              </w:rPr>
              <w:t>, K. (2018). How does web personalization create value for online retailers? Lower cash flow volatility or enhanced cash flows. </w:t>
            </w:r>
            <w:r>
              <w:rPr>
                <w:rFonts w:cs="Arial"/>
                <w:i/>
                <w:iCs/>
                <w:color w:val="222222"/>
                <w:szCs w:val="20"/>
                <w:shd w:val="clear" w:color="auto" w:fill="FFFFFF"/>
              </w:rPr>
              <w:t>Journal of Retailing</w:t>
            </w:r>
            <w:r>
              <w:rPr>
                <w:rFonts w:cs="Arial"/>
                <w:color w:val="222222"/>
                <w:szCs w:val="20"/>
                <w:shd w:val="clear" w:color="auto" w:fill="FFFFFF"/>
              </w:rPr>
              <w:t>, </w:t>
            </w:r>
            <w:r>
              <w:rPr>
                <w:rFonts w:cs="Arial"/>
                <w:i/>
                <w:iCs/>
                <w:color w:val="222222"/>
                <w:szCs w:val="20"/>
                <w:shd w:val="clear" w:color="auto" w:fill="FFFFFF"/>
              </w:rPr>
              <w:t>94</w:t>
            </w:r>
            <w:r>
              <w:rPr>
                <w:rFonts w:cs="Arial"/>
                <w:color w:val="222222"/>
                <w:szCs w:val="20"/>
                <w:shd w:val="clear" w:color="auto" w:fill="FFFFFF"/>
              </w:rPr>
              <w:t>(3), 265-279.</w:t>
            </w:r>
          </w:p>
        </w:tc>
      </w:tr>
      <w:tr w14:paraId="6ED3E06D"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4FBCEE65" w14:textId="1FE98C55">
            <w:pPr>
              <w:spacing w:after="0"/>
              <w:rPr>
                <w:color w:val="4D3733"/>
              </w:rPr>
            </w:pPr>
            <w:r w:rsidRPr="000003B4">
              <w:rPr>
                <w:color w:val="4D3733"/>
              </w:rPr>
              <w:t>Project management</w:t>
            </w:r>
          </w:p>
        </w:tc>
        <w:tc>
          <w:tcPr>
            <w:tcW w:w="1873" w:type="pct"/>
            <w:vAlign w:val="center"/>
          </w:tcPr>
          <w:p w:rsidR="000003B4" w:rsidRPr="00776416" w:rsidP="000003B4" w14:paraId="1E128531" w14:textId="38A1F342">
            <w:pPr>
              <w:spacing w:after="0"/>
            </w:pPr>
            <w:r>
              <w:t>It is the process of creating, planning, executing, monitoring, and closing projects to achieve objectives and meet success criteria within a specific period.</w:t>
            </w:r>
          </w:p>
        </w:tc>
        <w:tc>
          <w:tcPr>
            <w:tcW w:w="1873" w:type="pct"/>
          </w:tcPr>
          <w:p w:rsidR="000003B4" w:rsidRPr="00776416" w:rsidP="000003B4" w14:paraId="478C5CE0" w14:textId="47E15265">
            <w:pPr>
              <w:spacing w:after="0"/>
            </w:pPr>
            <w:r>
              <w:rPr>
                <w:rFonts w:cs="Arial"/>
                <w:color w:val="222222"/>
                <w:szCs w:val="20"/>
                <w:shd w:val="clear" w:color="auto" w:fill="FFFFFF"/>
              </w:rPr>
              <w:t>Bushuyev</w:t>
            </w:r>
            <w:r>
              <w:rPr>
                <w:rFonts w:cs="Arial"/>
                <w:color w:val="222222"/>
                <w:szCs w:val="20"/>
                <w:shd w:val="clear" w:color="auto" w:fill="FFFFFF"/>
              </w:rPr>
              <w:t xml:space="preserve">, S., </w:t>
            </w:r>
            <w:r>
              <w:rPr>
                <w:rFonts w:cs="Arial"/>
                <w:color w:val="222222"/>
                <w:szCs w:val="20"/>
                <w:shd w:val="clear" w:color="auto" w:fill="FFFFFF"/>
              </w:rPr>
              <w:t>Bushuieva</w:t>
            </w:r>
            <w:r>
              <w:rPr>
                <w:rFonts w:cs="Arial"/>
                <w:color w:val="222222"/>
                <w:szCs w:val="20"/>
                <w:shd w:val="clear" w:color="auto" w:fill="FFFFFF"/>
              </w:rPr>
              <w:t xml:space="preserve">, V., </w:t>
            </w:r>
            <w:r>
              <w:rPr>
                <w:rFonts w:cs="Arial"/>
                <w:color w:val="222222"/>
                <w:szCs w:val="20"/>
                <w:shd w:val="clear" w:color="auto" w:fill="FFFFFF"/>
              </w:rPr>
              <w:t>Bushuiev</w:t>
            </w:r>
            <w:r>
              <w:rPr>
                <w:rFonts w:cs="Arial"/>
                <w:color w:val="222222"/>
                <w:szCs w:val="20"/>
                <w:shd w:val="clear" w:color="auto" w:fill="FFFFFF"/>
              </w:rPr>
              <w:t xml:space="preserve">, D., &amp; </w:t>
            </w:r>
            <w:r>
              <w:rPr>
                <w:rFonts w:cs="Arial"/>
                <w:color w:val="222222"/>
                <w:szCs w:val="20"/>
                <w:shd w:val="clear" w:color="auto" w:fill="FFFFFF"/>
              </w:rPr>
              <w:t>Bushuyeva</w:t>
            </w:r>
            <w:r>
              <w:rPr>
                <w:rFonts w:cs="Arial"/>
                <w:color w:val="222222"/>
                <w:szCs w:val="20"/>
                <w:shd w:val="clear" w:color="auto" w:fill="FFFFFF"/>
              </w:rPr>
              <w:t xml:space="preserve">, N. (2020, September). </w:t>
            </w:r>
            <w:r>
              <w:rPr>
                <w:rFonts w:cs="Arial"/>
                <w:color w:val="222222"/>
                <w:szCs w:val="20"/>
                <w:shd w:val="clear" w:color="auto" w:fill="FFFFFF"/>
              </w:rPr>
              <w:t>Hybridisation</w:t>
            </w:r>
            <w:r>
              <w:rPr>
                <w:rFonts w:cs="Arial"/>
                <w:color w:val="222222"/>
                <w:szCs w:val="20"/>
                <w:shd w:val="clear" w:color="auto" w:fill="FFFFFF"/>
              </w:rPr>
              <w:t xml:space="preserve"> of IT Project Management Methodologies. Complementary or Contradictory?. In </w:t>
            </w:r>
            <w:r>
              <w:rPr>
                <w:rFonts w:cs="Arial"/>
                <w:i/>
                <w:iCs/>
                <w:color w:val="222222"/>
                <w:szCs w:val="20"/>
                <w:shd w:val="clear" w:color="auto" w:fill="FFFFFF"/>
              </w:rPr>
              <w:t>Conference on Computer Science and Information Technologies</w:t>
            </w:r>
            <w:r>
              <w:rPr>
                <w:rFonts w:cs="Arial"/>
                <w:color w:val="222222"/>
                <w:szCs w:val="20"/>
                <w:shd w:val="clear" w:color="auto" w:fill="FFFFFF"/>
              </w:rPr>
              <w:t> (pp. 324-342). Springer, Cham.</w:t>
            </w:r>
          </w:p>
        </w:tc>
      </w:tr>
      <w:tr w14:paraId="1A2E048C"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75523A56" w14:textId="5DB958F1">
            <w:pPr>
              <w:spacing w:after="0"/>
              <w:rPr>
                <w:color w:val="4D3733"/>
              </w:rPr>
            </w:pPr>
            <w:r w:rsidRPr="000003B4">
              <w:rPr>
                <w:color w:val="4D3733"/>
              </w:rPr>
              <w:t>Outsourcing and offshoring</w:t>
            </w:r>
          </w:p>
        </w:tc>
        <w:tc>
          <w:tcPr>
            <w:tcW w:w="1873" w:type="pct"/>
            <w:vAlign w:val="center"/>
          </w:tcPr>
          <w:p w:rsidR="000003B4" w:rsidP="000003B4" w14:paraId="672DE944" w14:textId="4F1D6451">
            <w:pPr>
              <w:spacing w:after="0"/>
            </w:pPr>
            <w:r>
              <w:t>Outsourcing is the process where an organization contracts a third-party to perform specific functions that the primary organization is unable to perform at the moment.</w:t>
            </w:r>
          </w:p>
          <w:p w:rsidR="008E3E2A" w:rsidRPr="00776416" w:rsidP="000003B4" w14:paraId="6E94DE97" w14:textId="33B39F32">
            <w:pPr>
              <w:spacing w:after="0"/>
            </w:pPr>
            <w:r>
              <w:t>Offshoring is the process where an organization sends in-house jobs to be completed in another country or nation.</w:t>
            </w:r>
          </w:p>
        </w:tc>
        <w:tc>
          <w:tcPr>
            <w:tcW w:w="1873" w:type="pct"/>
          </w:tcPr>
          <w:p w:rsidR="000003B4" w:rsidRPr="00776416" w:rsidP="000003B4" w14:paraId="602C2FAE" w14:textId="7824270B">
            <w:pPr>
              <w:spacing w:after="0"/>
            </w:pPr>
            <w:r>
              <w:rPr>
                <w:rFonts w:cs="Arial"/>
                <w:color w:val="222222"/>
                <w:szCs w:val="20"/>
                <w:shd w:val="clear" w:color="auto" w:fill="FFFFFF"/>
              </w:rPr>
              <w:t xml:space="preserve">Ishizaka, A., Bhattacharya, A., Gunasekaran, A., </w:t>
            </w:r>
            <w:r>
              <w:rPr>
                <w:rFonts w:cs="Arial"/>
                <w:color w:val="222222"/>
                <w:szCs w:val="20"/>
                <w:shd w:val="clear" w:color="auto" w:fill="FFFFFF"/>
              </w:rPr>
              <w:t>Dekkers</w:t>
            </w:r>
            <w:r>
              <w:rPr>
                <w:rFonts w:cs="Arial"/>
                <w:color w:val="222222"/>
                <w:szCs w:val="20"/>
                <w:shd w:val="clear" w:color="auto" w:fill="FFFFFF"/>
              </w:rPr>
              <w:t>, R., &amp; Pereira, V. (2019). Outsourcing and offshoring decision making.</w:t>
            </w:r>
          </w:p>
        </w:tc>
      </w:tr>
      <w:tr w14:paraId="26D8375D"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0153CEDC" w14:textId="2A95FB01">
            <w:pPr>
              <w:spacing w:after="0"/>
              <w:rPr>
                <w:color w:val="4D3733"/>
              </w:rPr>
            </w:pPr>
            <w:r w:rsidRPr="000003B4">
              <w:rPr>
                <w:color w:val="4D3733"/>
              </w:rPr>
              <w:t>Inventory turnover</w:t>
            </w:r>
          </w:p>
        </w:tc>
        <w:tc>
          <w:tcPr>
            <w:tcW w:w="1873" w:type="pct"/>
            <w:vAlign w:val="center"/>
          </w:tcPr>
          <w:p w:rsidR="000003B4" w:rsidRPr="00776416" w:rsidP="000003B4" w14:paraId="073373C4" w14:textId="10B07788">
            <w:pPr>
              <w:spacing w:after="0"/>
            </w:pPr>
            <w:r>
              <w:t>It is a measure of the number of times inventory is sold or utilized within a certain amount of time.</w:t>
            </w:r>
          </w:p>
        </w:tc>
        <w:tc>
          <w:tcPr>
            <w:tcW w:w="1873" w:type="pct"/>
          </w:tcPr>
          <w:p w:rsidR="000003B4" w:rsidRPr="00776416" w:rsidP="000003B4" w14:paraId="5BECCF43" w14:textId="08C6212E">
            <w:pPr>
              <w:spacing w:after="0"/>
            </w:pPr>
            <w:r>
              <w:rPr>
                <w:rFonts w:cs="Arial"/>
                <w:color w:val="222222"/>
                <w:szCs w:val="20"/>
                <w:shd w:val="clear" w:color="auto" w:fill="FFFFFF"/>
              </w:rPr>
              <w:t>Kwak, J. K. (2019). Analysis of Inventory Turnover as a Performance Measure in Manufacturing Industry. </w:t>
            </w:r>
            <w:r>
              <w:rPr>
                <w:rFonts w:cs="Arial"/>
                <w:i/>
                <w:iCs/>
                <w:color w:val="222222"/>
                <w:szCs w:val="20"/>
                <w:shd w:val="clear" w:color="auto" w:fill="FFFFFF"/>
              </w:rPr>
              <w:t>Processes</w:t>
            </w:r>
            <w:r>
              <w:rPr>
                <w:rFonts w:cs="Arial"/>
                <w:color w:val="222222"/>
                <w:szCs w:val="20"/>
                <w:shd w:val="clear" w:color="auto" w:fill="FFFFFF"/>
              </w:rPr>
              <w:t>, </w:t>
            </w:r>
            <w:r>
              <w:rPr>
                <w:rFonts w:cs="Arial"/>
                <w:i/>
                <w:iCs/>
                <w:color w:val="222222"/>
                <w:szCs w:val="20"/>
                <w:shd w:val="clear" w:color="auto" w:fill="FFFFFF"/>
              </w:rPr>
              <w:t>7</w:t>
            </w:r>
            <w:r>
              <w:rPr>
                <w:rFonts w:cs="Arial"/>
                <w:color w:val="222222"/>
                <w:szCs w:val="20"/>
                <w:shd w:val="clear" w:color="auto" w:fill="FFFFFF"/>
              </w:rPr>
              <w:t>(10), 760.</w:t>
            </w:r>
          </w:p>
        </w:tc>
      </w:tr>
      <w:tr w14:paraId="566DB4A1"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696B30DF" w14:textId="56CB2CF4">
            <w:pPr>
              <w:spacing w:after="0"/>
              <w:rPr>
                <w:color w:val="4D3733"/>
              </w:rPr>
            </w:pPr>
            <w:r w:rsidRPr="000003B4">
              <w:rPr>
                <w:color w:val="4D3733"/>
              </w:rPr>
              <w:t>Just-in-time inventory (JIT)</w:t>
            </w:r>
          </w:p>
        </w:tc>
        <w:tc>
          <w:tcPr>
            <w:tcW w:w="1873" w:type="pct"/>
            <w:vAlign w:val="center"/>
          </w:tcPr>
          <w:p w:rsidR="000003B4" w:rsidRPr="00776416" w:rsidP="000003B4" w14:paraId="503ED299" w14:textId="480AC67A">
            <w:pPr>
              <w:spacing w:after="0"/>
            </w:pPr>
            <w:r>
              <w:t>It is a system that manages inventory by making them readily available to meet the demand but not to a point of leaving excess.</w:t>
            </w:r>
          </w:p>
        </w:tc>
        <w:tc>
          <w:tcPr>
            <w:tcW w:w="1873" w:type="pct"/>
          </w:tcPr>
          <w:p w:rsidR="000003B4" w:rsidRPr="00776416" w:rsidP="000003B4" w14:paraId="15220D87" w14:textId="08DE6BF4">
            <w:pPr>
              <w:spacing w:after="0"/>
            </w:pPr>
            <w:r>
              <w:rPr>
                <w:rFonts w:cs="Arial"/>
                <w:color w:val="222222"/>
                <w:szCs w:val="20"/>
                <w:shd w:val="clear" w:color="auto" w:fill="FFFFFF"/>
              </w:rPr>
              <w:t>Kong, L., Li, H., Luo, H., Ding, L., &amp; Zhang, X. (2018). Sustainable performance of just-in-time (JIT) management in time-dependent batch delivery scheduling of precast construction. </w:t>
            </w:r>
            <w:r>
              <w:rPr>
                <w:rFonts w:cs="Arial"/>
                <w:i/>
                <w:iCs/>
                <w:color w:val="222222"/>
                <w:szCs w:val="20"/>
                <w:shd w:val="clear" w:color="auto" w:fill="FFFFFF"/>
              </w:rPr>
              <w:t>Journal of cleaner production</w:t>
            </w:r>
            <w:r>
              <w:rPr>
                <w:rFonts w:cs="Arial"/>
                <w:color w:val="222222"/>
                <w:szCs w:val="20"/>
                <w:shd w:val="clear" w:color="auto" w:fill="FFFFFF"/>
              </w:rPr>
              <w:t>, </w:t>
            </w:r>
            <w:r>
              <w:rPr>
                <w:rFonts w:cs="Arial"/>
                <w:i/>
                <w:iCs/>
                <w:color w:val="222222"/>
                <w:szCs w:val="20"/>
                <w:shd w:val="clear" w:color="auto" w:fill="FFFFFF"/>
              </w:rPr>
              <w:t>193</w:t>
            </w:r>
            <w:r>
              <w:rPr>
                <w:rFonts w:cs="Arial"/>
                <w:color w:val="222222"/>
                <w:szCs w:val="20"/>
                <w:shd w:val="clear" w:color="auto" w:fill="FFFFFF"/>
              </w:rPr>
              <w:t>, 684-701.</w:t>
            </w:r>
          </w:p>
        </w:tc>
      </w:tr>
      <w:tr w14:paraId="3BADDAD4"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276FB69F" w14:textId="28A0D0C9">
            <w:pPr>
              <w:spacing w:after="0"/>
              <w:rPr>
                <w:color w:val="4D3733"/>
              </w:rPr>
            </w:pPr>
            <w:r w:rsidRPr="000003B4">
              <w:rPr>
                <w:color w:val="4D3733"/>
              </w:rPr>
              <w:t>Vend</w:t>
            </w:r>
            <w:r w:rsidR="00430DDF">
              <w:rPr>
                <w:color w:val="4D3733"/>
              </w:rPr>
              <w:t>o</w:t>
            </w:r>
            <w:r w:rsidRPr="000003B4">
              <w:rPr>
                <w:color w:val="4D3733"/>
              </w:rPr>
              <w:t>r managed inventory (VMI)</w:t>
            </w:r>
          </w:p>
        </w:tc>
        <w:tc>
          <w:tcPr>
            <w:tcW w:w="1873" w:type="pct"/>
            <w:vAlign w:val="center"/>
          </w:tcPr>
          <w:p w:rsidR="000003B4" w:rsidRPr="00776416" w:rsidP="000003B4" w14:paraId="03BDBF3E" w14:textId="4E832C45">
            <w:pPr>
              <w:spacing w:after="0"/>
            </w:pPr>
            <w:r>
              <w:t>It is an inventory management strategy in which the supplier of the goods is responsible for the optimization of the inventory.</w:t>
            </w:r>
          </w:p>
        </w:tc>
        <w:tc>
          <w:tcPr>
            <w:tcW w:w="1873" w:type="pct"/>
          </w:tcPr>
          <w:p w:rsidR="000003B4" w:rsidRPr="00776416" w:rsidP="000003B4" w14:paraId="215E59F5" w14:textId="64C80400">
            <w:pPr>
              <w:spacing w:after="0"/>
            </w:pPr>
            <w:r>
              <w:rPr>
                <w:rFonts w:cs="Arial"/>
                <w:color w:val="222222"/>
                <w:szCs w:val="20"/>
                <w:shd w:val="clear" w:color="auto" w:fill="FFFFFF"/>
              </w:rPr>
              <w:t>Sabila</w:t>
            </w:r>
            <w:r>
              <w:rPr>
                <w:rFonts w:cs="Arial"/>
                <w:color w:val="222222"/>
                <w:szCs w:val="20"/>
                <w:shd w:val="clear" w:color="auto" w:fill="FFFFFF"/>
              </w:rPr>
              <w:t xml:space="preserve">, A. D., </w:t>
            </w:r>
            <w:r>
              <w:rPr>
                <w:rFonts w:cs="Arial"/>
                <w:color w:val="222222"/>
                <w:szCs w:val="20"/>
                <w:shd w:val="clear" w:color="auto" w:fill="FFFFFF"/>
              </w:rPr>
              <w:t>Mustafid</w:t>
            </w:r>
            <w:r>
              <w:rPr>
                <w:rFonts w:cs="Arial"/>
                <w:color w:val="222222"/>
                <w:szCs w:val="20"/>
                <w:shd w:val="clear" w:color="auto" w:fill="FFFFFF"/>
              </w:rPr>
              <w:t xml:space="preserve">, M., &amp; </w:t>
            </w:r>
            <w:r>
              <w:rPr>
                <w:rFonts w:cs="Arial"/>
                <w:color w:val="222222"/>
                <w:szCs w:val="20"/>
                <w:shd w:val="clear" w:color="auto" w:fill="FFFFFF"/>
              </w:rPr>
              <w:t>Suryono</w:t>
            </w:r>
            <w:r>
              <w:rPr>
                <w:rFonts w:cs="Arial"/>
                <w:color w:val="222222"/>
                <w:szCs w:val="20"/>
                <w:shd w:val="clear" w:color="auto" w:fill="FFFFFF"/>
              </w:rPr>
              <w:t>, S. (2018). Inventory Control System by Using Vendor Managed Inventory (VMI). In </w:t>
            </w:r>
            <w:r>
              <w:rPr>
                <w:rFonts w:cs="Arial"/>
                <w:i/>
                <w:iCs/>
                <w:color w:val="222222"/>
                <w:szCs w:val="20"/>
                <w:shd w:val="clear" w:color="auto" w:fill="FFFFFF"/>
              </w:rPr>
              <w:t>E3S Web of Conferences</w:t>
            </w:r>
            <w:r>
              <w:rPr>
                <w:rFonts w:cs="Arial"/>
                <w:color w:val="222222"/>
                <w:szCs w:val="20"/>
                <w:shd w:val="clear" w:color="auto" w:fill="FFFFFF"/>
              </w:rPr>
              <w:t> (Vol. 31, p. 11015). EDP Sciences.</w:t>
            </w:r>
          </w:p>
        </w:tc>
      </w:tr>
      <w:tr w14:paraId="25EEB158" w14:textId="77777777" w:rsidTr="000003B4">
        <w:tblPrEx>
          <w:tblW w:w="5000" w:type="pct"/>
          <w:tblCellMar>
            <w:top w:w="86" w:type="dxa"/>
            <w:left w:w="115" w:type="dxa"/>
            <w:bottom w:w="86" w:type="dxa"/>
            <w:right w:w="115" w:type="dxa"/>
          </w:tblCellMar>
          <w:tblLook w:val="0620"/>
        </w:tblPrEx>
        <w:tc>
          <w:tcPr>
            <w:tcW w:w="1254" w:type="pct"/>
          </w:tcPr>
          <w:p w:rsidR="000003B4" w:rsidRPr="000003B4" w:rsidP="000003B4" w14:paraId="6904FF67" w14:textId="31D15118">
            <w:pPr>
              <w:spacing w:after="0"/>
              <w:rPr>
                <w:color w:val="4D3733"/>
              </w:rPr>
            </w:pPr>
            <w:r w:rsidRPr="000003B4">
              <w:rPr>
                <w:color w:val="4D3733"/>
              </w:rPr>
              <w:t>Forecasting and demand management</w:t>
            </w:r>
          </w:p>
        </w:tc>
        <w:tc>
          <w:tcPr>
            <w:tcW w:w="1873" w:type="pct"/>
            <w:vAlign w:val="center"/>
          </w:tcPr>
          <w:p w:rsidR="000003B4" w:rsidRPr="00776416" w:rsidP="000003B4" w14:paraId="7FC706B4" w14:textId="2FC52DCE">
            <w:pPr>
              <w:spacing w:after="0"/>
            </w:pPr>
            <w:r>
              <w:t>It is the process of recognizing all the demands for goods, products, and services to support the marketplace.</w:t>
            </w:r>
          </w:p>
        </w:tc>
        <w:tc>
          <w:tcPr>
            <w:tcW w:w="1873" w:type="pct"/>
          </w:tcPr>
          <w:p w:rsidR="00985E25" w:rsidRPr="00776416" w:rsidP="000003B4" w14:paraId="11593263" w14:textId="74650053">
            <w:pPr>
              <w:spacing w:after="0"/>
            </w:pPr>
            <w:r>
              <w:rPr>
                <w:rFonts w:cs="Arial"/>
                <w:color w:val="222222"/>
                <w:szCs w:val="20"/>
                <w:shd w:val="clear" w:color="auto" w:fill="FFFFFF"/>
              </w:rPr>
              <w:t xml:space="preserve">Fattah, J., </w:t>
            </w:r>
            <w:r>
              <w:rPr>
                <w:rFonts w:cs="Arial"/>
                <w:color w:val="222222"/>
                <w:szCs w:val="20"/>
                <w:shd w:val="clear" w:color="auto" w:fill="FFFFFF"/>
              </w:rPr>
              <w:t>Ezzine</w:t>
            </w:r>
            <w:r>
              <w:rPr>
                <w:rFonts w:cs="Arial"/>
                <w:color w:val="222222"/>
                <w:szCs w:val="20"/>
                <w:shd w:val="clear" w:color="auto" w:fill="FFFFFF"/>
              </w:rPr>
              <w:t xml:space="preserve">, L., Aman, Z., El </w:t>
            </w:r>
            <w:r>
              <w:rPr>
                <w:rFonts w:cs="Arial"/>
                <w:color w:val="222222"/>
                <w:szCs w:val="20"/>
                <w:shd w:val="clear" w:color="auto" w:fill="FFFFFF"/>
              </w:rPr>
              <w:t>Moussami</w:t>
            </w:r>
            <w:r>
              <w:rPr>
                <w:rFonts w:cs="Arial"/>
                <w:color w:val="222222"/>
                <w:szCs w:val="20"/>
                <w:shd w:val="clear" w:color="auto" w:fill="FFFFFF"/>
              </w:rPr>
              <w:t xml:space="preserve">, H., &amp; </w:t>
            </w:r>
            <w:r>
              <w:rPr>
                <w:rFonts w:cs="Arial"/>
                <w:color w:val="222222"/>
                <w:szCs w:val="20"/>
                <w:shd w:val="clear" w:color="auto" w:fill="FFFFFF"/>
              </w:rPr>
              <w:t>Lachhab</w:t>
            </w:r>
            <w:r>
              <w:rPr>
                <w:rFonts w:cs="Arial"/>
                <w:color w:val="222222"/>
                <w:szCs w:val="20"/>
                <w:shd w:val="clear" w:color="auto" w:fill="FFFFFF"/>
              </w:rPr>
              <w:t>, A. (2018). Forecasting of demand using ARIMA model. </w:t>
            </w:r>
            <w:r>
              <w:rPr>
                <w:rFonts w:cs="Arial"/>
                <w:i/>
                <w:iCs/>
                <w:color w:val="222222"/>
                <w:szCs w:val="20"/>
                <w:shd w:val="clear" w:color="auto" w:fill="FFFFFF"/>
              </w:rPr>
              <w:t>International Journal of Engineering Business Management</w:t>
            </w:r>
            <w:r>
              <w:rPr>
                <w:rFonts w:cs="Arial"/>
                <w:color w:val="222222"/>
                <w:szCs w:val="20"/>
                <w:shd w:val="clear" w:color="auto" w:fill="FFFFFF"/>
              </w:rPr>
              <w:t>, </w:t>
            </w:r>
            <w:r>
              <w:rPr>
                <w:rFonts w:cs="Arial"/>
                <w:i/>
                <w:iCs/>
                <w:color w:val="222222"/>
                <w:szCs w:val="20"/>
                <w:shd w:val="clear" w:color="auto" w:fill="FFFFFF"/>
              </w:rPr>
              <w:t>10</w:t>
            </w:r>
            <w:r>
              <w:rPr>
                <w:rFonts w:cs="Arial"/>
                <w:color w:val="222222"/>
                <w:szCs w:val="20"/>
                <w:shd w:val="clear" w:color="auto" w:fill="FFFFFF"/>
              </w:rPr>
              <w:t>, 1847979018808673.</w:t>
            </w:r>
          </w:p>
        </w:tc>
      </w:tr>
    </w:tbl>
    <w:p w:rsidR="000003B4" w:rsidP="00C7408B" w14:paraId="03869FFE" w14:textId="4E3EE914">
      <w:pPr>
        <w:rPr>
          <w:color w:val="4D3733"/>
        </w:rPr>
      </w:pPr>
    </w:p>
    <w:p w:rsidR="000003B4" w:rsidP="00C7408B" w14:textId="4E3EE914">
      <w:pPr>
        <w:rPr>
          <w:color w:val="4D3733"/>
        </w:rPr>
      </w:pPr>
      <w:r w:rsidRPr="000003B4">
        <w:rPr>
          <w:b/>
          <w:color w:val="4D3733"/>
        </w:rPr>
        <w:t>List</w:t>
      </w:r>
      <w:r w:rsidRPr="000003B4">
        <w:rPr>
          <w:color w:val="4D3733"/>
        </w:rPr>
        <w:t xml:space="preserve"> and </w:t>
      </w:r>
      <w:r w:rsidRPr="000003B4">
        <w:rPr>
          <w:b/>
          <w:color w:val="4D3733"/>
        </w:rPr>
        <w:t>describe</w:t>
      </w:r>
      <w:r w:rsidRPr="000003B4">
        <w:rPr>
          <w:color w:val="4D3733"/>
        </w:rPr>
        <w:t xml:space="preserve"> at least </w:t>
      </w:r>
      <w:r w:rsidR="00E710B7">
        <w:rPr>
          <w:color w:val="4D3733"/>
        </w:rPr>
        <w:t>5</w:t>
      </w:r>
      <w:r w:rsidRPr="000003B4" w:rsidR="00E710B7">
        <w:rPr>
          <w:color w:val="4D3733"/>
        </w:rPr>
        <w:t xml:space="preserve"> </w:t>
      </w:r>
      <w:r w:rsidRPr="000003B4">
        <w:rPr>
          <w:color w:val="4D3733"/>
        </w:rPr>
        <w:t>stakeholders in the health care payer system.</w:t>
      </w:r>
    </w:p>
    <w:p w:rsidR="00E710B7" w:rsidP="00C7408B" w14:paraId="73012258" w14:textId="76B5626E">
      <w:pPr>
        <w:rPr>
          <w:color w:val="4D3733"/>
        </w:rPr>
      </w:pPr>
      <w:r>
        <w:rPr>
          <w:color w:val="4D3733"/>
        </w:rPr>
        <w:t>20 points</w:t>
      </w:r>
      <w:r>
        <w:rPr>
          <w:color w:val="4D3733"/>
        </w:rPr>
        <w:t>:</w:t>
      </w:r>
      <w:r>
        <w:rPr>
          <w:color w:val="4D3733"/>
        </w:rPr>
        <w:t xml:space="preserve"> 1 </w:t>
      </w:r>
      <w:r>
        <w:rPr>
          <w:color w:val="4D3733"/>
        </w:rPr>
        <w:t xml:space="preserve">point </w:t>
      </w:r>
      <w:r>
        <w:rPr>
          <w:color w:val="4D3733"/>
        </w:rPr>
        <w:t xml:space="preserve">for </w:t>
      </w:r>
      <w:r>
        <w:rPr>
          <w:color w:val="4D3733"/>
        </w:rPr>
        <w:t xml:space="preserve">the </w:t>
      </w:r>
      <w:r>
        <w:rPr>
          <w:color w:val="4D3733"/>
        </w:rPr>
        <w:t>stakeholder</w:t>
      </w:r>
      <w:r>
        <w:rPr>
          <w:color w:val="4D3733"/>
        </w:rPr>
        <w:t>,</w:t>
      </w:r>
      <w:r>
        <w:rPr>
          <w:color w:val="4D3733"/>
        </w:rPr>
        <w:t xml:space="preserve"> 1</w:t>
      </w:r>
      <w:r>
        <w:rPr>
          <w:color w:val="4D3733"/>
        </w:rPr>
        <w:t xml:space="preserve"> point</w:t>
      </w:r>
      <w:r>
        <w:rPr>
          <w:color w:val="4D3733"/>
        </w:rPr>
        <w:t xml:space="preserve"> for </w:t>
      </w:r>
      <w:r>
        <w:rPr>
          <w:color w:val="4D3733"/>
        </w:rPr>
        <w:t xml:space="preserve">the </w:t>
      </w:r>
      <w:r>
        <w:rPr>
          <w:color w:val="4D3733"/>
        </w:rPr>
        <w:t>description</w:t>
      </w:r>
      <w:r w:rsidR="00BD0311">
        <w:rPr>
          <w:color w:val="4D3733"/>
        </w:rPr>
        <w:t xml:space="preserve"> </w:t>
      </w:r>
    </w:p>
    <w:p w:rsidR="005C2614" w:rsidRPr="000003B4" w:rsidP="00C7408B" w14:paraId="77BA7A03" w14:textId="17D0A0FD">
      <w:pPr>
        <w:rPr>
          <w:color w:val="4D3733"/>
        </w:rPr>
      </w:pPr>
      <w:r w:rsidRPr="00201A34">
        <w:rPr>
          <w:i/>
          <w:iCs/>
          <w:color w:val="4D3733"/>
        </w:rPr>
        <w:t>Note</w:t>
      </w:r>
      <w:r>
        <w:rPr>
          <w:color w:val="4D3733"/>
        </w:rPr>
        <w:t xml:space="preserve">: </w:t>
      </w:r>
      <w:r w:rsidR="00BD0311">
        <w:rPr>
          <w:color w:val="4D3733"/>
        </w:rPr>
        <w:t xml:space="preserve">Resources required for full points. </w:t>
      </w:r>
    </w:p>
    <w:tbl>
      <w:tblPr>
        <w:tblStyle w:val="TableGrid"/>
        <w:tblCaption w:val="stakeholders"/>
        <w:tblDescription w:val="table for stakeholders and resources used"/>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3235"/>
        <w:gridCol w:w="9715"/>
      </w:tblGrid>
      <w:tr w14:paraId="17C5DFA2" w14:textId="77777777" w:rsidTr="000003B4">
        <w:tblPrEx>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Ex>
        <w:trPr>
          <w:tblHeader/>
        </w:trPr>
        <w:tc>
          <w:tcPr>
            <w:tcW w:w="1249" w:type="pct"/>
            <w:shd w:val="clear" w:color="auto" w:fill="EDEDED" w:themeFill="accent5"/>
            <w:vAlign w:val="center"/>
          </w:tcPr>
          <w:p w:rsidR="000003B4" w:rsidRPr="00776416" w:rsidP="00477F69" w14:paraId="28D7F7C6" w14:textId="5BD91635">
            <w:pPr>
              <w:spacing w:after="0"/>
            </w:pPr>
            <w:r w:rsidRPr="000003B4">
              <w:t>Stakeholder</w:t>
            </w:r>
          </w:p>
        </w:tc>
        <w:tc>
          <w:tcPr>
            <w:tcW w:w="3751" w:type="pct"/>
            <w:shd w:val="clear" w:color="auto" w:fill="EDEDED" w:themeFill="accent5"/>
            <w:vAlign w:val="center"/>
          </w:tcPr>
          <w:p w:rsidR="000003B4" w:rsidRPr="00776416" w:rsidP="00477F69" w14:paraId="00492340" w14:textId="5F8DD704">
            <w:pPr>
              <w:spacing w:after="0"/>
              <w:jc w:val="center"/>
            </w:pPr>
            <w:r w:rsidRPr="000003B4">
              <w:t>Description (at least 50 words each)</w:t>
            </w:r>
          </w:p>
        </w:tc>
      </w:tr>
      <w:tr w14:paraId="446D797A" w14:textId="77777777" w:rsidTr="000003B4">
        <w:tblPrEx>
          <w:tblW w:w="5000" w:type="pct"/>
          <w:tblCellMar>
            <w:top w:w="86" w:type="dxa"/>
            <w:left w:w="115" w:type="dxa"/>
            <w:bottom w:w="86" w:type="dxa"/>
            <w:right w:w="115" w:type="dxa"/>
          </w:tblCellMar>
          <w:tblLook w:val="0620"/>
        </w:tblPrEx>
        <w:tc>
          <w:tcPr>
            <w:tcW w:w="1249" w:type="pct"/>
            <w:vAlign w:val="center"/>
          </w:tcPr>
          <w:p w:rsidR="000003B4" w:rsidRPr="00C7408B" w:rsidP="00477F69" w14:paraId="1D2105EE" w14:textId="1AB173C3">
            <w:pPr>
              <w:spacing w:after="0"/>
              <w:rPr>
                <w:color w:val="4D3733"/>
              </w:rPr>
            </w:pPr>
            <w:r>
              <w:rPr>
                <w:color w:val="4D3733"/>
              </w:rPr>
              <w:t>Patients</w:t>
            </w:r>
          </w:p>
        </w:tc>
        <w:tc>
          <w:tcPr>
            <w:tcW w:w="3751" w:type="pct"/>
            <w:vAlign w:val="center"/>
          </w:tcPr>
          <w:p w:rsidR="000003B4" w:rsidRPr="00776416" w:rsidP="00477F69" w14:paraId="16ED2A5A" w14:textId="43B36BCB">
            <w:pPr>
              <w:spacing w:after="0"/>
            </w:pPr>
            <w:r>
              <w:t xml:space="preserve">Patients are the recipients of the medical services offered. Since any business institution cannot exist without the existence of consumers and customers, the healthcare sector cannot offer services without the recipient of the service. This makes them an important stakeholder in the healthcare sector of any nation. </w:t>
            </w:r>
            <w:r w:rsidR="000604FD">
              <w:t xml:space="preserve">Therefore, ensuring patients receive access to quality healthcare with the least </w:t>
            </w:r>
            <w:r w:rsidR="007D27DB">
              <w:t>p</w:t>
            </w:r>
            <w:r w:rsidR="000604FD">
              <w:t xml:space="preserve">ossible cost can ensure the retention of patients and improvement in the quality of life. </w:t>
            </w:r>
          </w:p>
        </w:tc>
      </w:tr>
      <w:tr w14:paraId="213234F4" w14:textId="77777777" w:rsidTr="000003B4">
        <w:tblPrEx>
          <w:tblW w:w="5000" w:type="pct"/>
          <w:tblCellMar>
            <w:top w:w="86" w:type="dxa"/>
            <w:left w:w="115" w:type="dxa"/>
            <w:bottom w:w="86" w:type="dxa"/>
            <w:right w:w="115" w:type="dxa"/>
          </w:tblCellMar>
          <w:tblLook w:val="0620"/>
        </w:tblPrEx>
        <w:tc>
          <w:tcPr>
            <w:tcW w:w="1249" w:type="pct"/>
          </w:tcPr>
          <w:p w:rsidR="00985E25" w:rsidRPr="00C7408B" w:rsidP="00477F69" w14:paraId="36DA1057" w14:textId="568E1543">
            <w:pPr>
              <w:spacing w:after="0"/>
              <w:rPr>
                <w:color w:val="4D3733"/>
              </w:rPr>
            </w:pPr>
            <w:r>
              <w:rPr>
                <w:color w:val="4D3733"/>
              </w:rPr>
              <w:t>Physicians</w:t>
            </w:r>
          </w:p>
        </w:tc>
        <w:tc>
          <w:tcPr>
            <w:tcW w:w="3751" w:type="pct"/>
            <w:vAlign w:val="center"/>
          </w:tcPr>
          <w:p w:rsidR="000003B4" w:rsidRPr="00776416" w:rsidP="00477F69" w14:paraId="66B1BD55" w14:textId="77508D8C">
            <w:pPr>
              <w:spacing w:after="0"/>
            </w:pPr>
            <w:r>
              <w:t xml:space="preserve">Physicians involve all medical practitioners responsible for the provision of health services. They include doctors, pharmacists, registered nurses, psychologists and psychiatrists, neurologists, surgeons, and so on. The physicians are part of the healthcare stakeholder since, without them, the healthcare sector will not be </w:t>
            </w:r>
            <w:r w:rsidR="00F767C6">
              <w:t>a</w:t>
            </w:r>
            <w:r>
              <w:t xml:space="preserve">ble to operate. This is because they provide the services to the recipients, who are the patients. </w:t>
            </w:r>
          </w:p>
        </w:tc>
      </w:tr>
      <w:tr w14:paraId="1DE742C5" w14:textId="77777777" w:rsidTr="000003B4">
        <w:tblPrEx>
          <w:tblW w:w="5000" w:type="pct"/>
          <w:tblCellMar>
            <w:top w:w="86" w:type="dxa"/>
            <w:left w:w="115" w:type="dxa"/>
            <w:bottom w:w="86" w:type="dxa"/>
            <w:right w:w="115" w:type="dxa"/>
          </w:tblCellMar>
          <w:tblLook w:val="0620"/>
        </w:tblPrEx>
        <w:tc>
          <w:tcPr>
            <w:tcW w:w="1249" w:type="pct"/>
          </w:tcPr>
          <w:p w:rsidR="000003B4" w:rsidRPr="00C7408B" w:rsidP="00477F69" w14:paraId="1E262798" w14:textId="529C2FA1">
            <w:pPr>
              <w:spacing w:after="0"/>
              <w:rPr>
                <w:color w:val="4D3733"/>
              </w:rPr>
            </w:pPr>
            <w:r>
              <w:rPr>
                <w:color w:val="4D3733"/>
              </w:rPr>
              <w:t>The government</w:t>
            </w:r>
          </w:p>
        </w:tc>
        <w:tc>
          <w:tcPr>
            <w:tcW w:w="3751" w:type="pct"/>
            <w:vAlign w:val="center"/>
          </w:tcPr>
          <w:p w:rsidR="000003B4" w:rsidRPr="00776416" w:rsidP="00477F69" w14:paraId="38C9B97A" w14:textId="17618F3B">
            <w:pPr>
              <w:spacing w:after="0"/>
            </w:pPr>
            <w:r>
              <w:t xml:space="preserve">The government is responsible for subsidizing healthcare for the elderly, the widowed, the poor, and the disabled. The government is responsible for integrating its activities with the healthcare facilities and the insurance companies to ensure that all patients within the united states of America receive healthcare services irrespective of their social status or financial capabilities. </w:t>
            </w:r>
          </w:p>
        </w:tc>
      </w:tr>
      <w:tr w14:paraId="0A2B187F" w14:textId="77777777" w:rsidTr="000003B4">
        <w:tblPrEx>
          <w:tblW w:w="5000" w:type="pct"/>
          <w:tblCellMar>
            <w:top w:w="86" w:type="dxa"/>
            <w:left w:w="115" w:type="dxa"/>
            <w:bottom w:w="86" w:type="dxa"/>
            <w:right w:w="115" w:type="dxa"/>
          </w:tblCellMar>
          <w:tblLook w:val="0620"/>
        </w:tblPrEx>
        <w:tc>
          <w:tcPr>
            <w:tcW w:w="1249" w:type="pct"/>
          </w:tcPr>
          <w:p w:rsidR="000003B4" w:rsidRPr="00C7408B" w:rsidP="00477F69" w14:paraId="1E8D033E" w14:textId="00C4BA36">
            <w:pPr>
              <w:spacing w:after="0"/>
              <w:rPr>
                <w:color w:val="4D3733"/>
              </w:rPr>
            </w:pPr>
            <w:r>
              <w:rPr>
                <w:color w:val="4D3733"/>
              </w:rPr>
              <w:t>Investors</w:t>
            </w:r>
            <w:r w:rsidR="00840CF8">
              <w:rPr>
                <w:color w:val="4D3733"/>
              </w:rPr>
              <w:t xml:space="preserve"> and pharmaceutical companies</w:t>
            </w:r>
          </w:p>
        </w:tc>
        <w:tc>
          <w:tcPr>
            <w:tcW w:w="3751" w:type="pct"/>
            <w:vAlign w:val="center"/>
          </w:tcPr>
          <w:p w:rsidR="000003B4" w:rsidRPr="00776416" w:rsidP="00477F69" w14:paraId="22C211A1" w14:textId="2EF0FC9B">
            <w:pPr>
              <w:spacing w:after="0"/>
            </w:pPr>
            <w:r>
              <w:t>Investors provide enough finances to ensure private health institutions operate effectively. The pharmaceutical companies develop and market medications that are prescribed by doctors, and physicians</w:t>
            </w:r>
            <w:r w:rsidR="00D6041F">
              <w:t xml:space="preserve">. That is, they receive remuneration through governmental </w:t>
            </w:r>
            <w:r w:rsidR="00E22BF2">
              <w:t xml:space="preserve">drug benefit plans. </w:t>
            </w:r>
            <w:r w:rsidR="00B57EB5">
              <w:t xml:space="preserve">Most employees within the united states have health insurance coverages that contain drug prescriptions as a part of it. </w:t>
            </w:r>
          </w:p>
        </w:tc>
      </w:tr>
      <w:tr w14:paraId="65F307FE" w14:textId="77777777" w:rsidTr="000003B4">
        <w:tblPrEx>
          <w:tblW w:w="5000" w:type="pct"/>
          <w:tblCellMar>
            <w:top w:w="86" w:type="dxa"/>
            <w:left w:w="115" w:type="dxa"/>
            <w:bottom w:w="86" w:type="dxa"/>
            <w:right w:w="115" w:type="dxa"/>
          </w:tblCellMar>
          <w:tblLook w:val="0620"/>
        </w:tblPrEx>
        <w:tc>
          <w:tcPr>
            <w:tcW w:w="1249" w:type="pct"/>
          </w:tcPr>
          <w:p w:rsidR="000003B4" w:rsidRPr="00C7408B" w:rsidP="00477F69" w14:paraId="67C8A7ED" w14:textId="16CD2A69">
            <w:pPr>
              <w:spacing w:after="0"/>
              <w:rPr>
                <w:color w:val="4D3733"/>
              </w:rPr>
            </w:pPr>
            <w:r>
              <w:rPr>
                <w:color w:val="4D3733"/>
              </w:rPr>
              <w:t>Insurance companies.</w:t>
            </w:r>
          </w:p>
        </w:tc>
        <w:tc>
          <w:tcPr>
            <w:tcW w:w="3751" w:type="pct"/>
            <w:vAlign w:val="center"/>
          </w:tcPr>
          <w:p w:rsidR="000003B4" w:rsidRPr="00776416" w:rsidP="00477F69" w14:paraId="17DF209E" w14:textId="0F74DB89">
            <w:pPr>
              <w:spacing w:after="0"/>
            </w:pPr>
            <w:r>
              <w:t>Insurance companies are responsible for selling health coverage plans directly to patients or indirectly to the health institutions or through the government.</w:t>
            </w:r>
            <w:r w:rsidR="005A0EAE">
              <w:t xml:space="preserve"> Many insurance companies offer insurance with different levels of coverage depending on what the patients are able to pay. Moreover, health practitioners are given varying deductibles on their health coverage. </w:t>
            </w:r>
          </w:p>
        </w:tc>
      </w:tr>
    </w:tbl>
    <w:p w:rsidR="000003B4" w:rsidRPr="00855907" w:rsidP="00C7408B" w14:paraId="2C57E90E" w14:textId="77777777"/>
    <w:sectPr w:rsidSect="006C691C">
      <w:headerReference w:type="default" r:id="rId10"/>
      <w:footerReference w:type="default" r:id="rId11"/>
      <w:headerReference w:type="first" r:id="rId12"/>
      <w:footerReference w:type="first" r:id="rId13"/>
      <w:pgSz w:w="15840" w:h="12240" w:orient="landscape"/>
      <w:pgMar w:top="720" w:right="1440" w:bottom="1440" w:left="1440" w:header="720"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RPr="00B9595A" w:rsidP="184C0106" w14:paraId="594D0D2A" w14:textId="1A86A8D8">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F35EB">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RPr="00B9595A" w:rsidP="184C0106" w14:paraId="7E58A2A9" w14:textId="782DD743">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F35EB">
      <w:rPr>
        <w:sz w:val="16"/>
        <w:szCs w:val="16"/>
      </w:rPr>
      <w:t>20</w:t>
    </w:r>
    <w:r w:rsidRPr="184C0106">
      <w:rPr>
        <w:sz w:val="16"/>
        <w:szCs w:val="16"/>
      </w:rPr>
      <w:t xml:space="preserve"> by University of Phoenix.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P="00BC466B" w14:paraId="389CE977" w14:textId="1C7A8F42">
    <w:pPr>
      <w:spacing w:after="0"/>
      <w:ind w:left="5760"/>
      <w:jc w:val="right"/>
    </w:pPr>
    <w:r>
      <w:t>Terminology and Stakeholders</w:t>
    </w:r>
  </w:p>
  <w:p w:rsidR="002901D9" w:rsidP="00B9595A" w14:paraId="76B54142" w14:textId="22781435">
    <w:pPr>
      <w:spacing w:after="0"/>
      <w:ind w:left="8190"/>
      <w:jc w:val="right"/>
    </w:pPr>
    <w:r>
      <w:t>HCS</w:t>
    </w:r>
    <w:r>
      <w:t>/</w:t>
    </w:r>
    <w:r w:rsidR="000003B4">
      <w:t>385</w:t>
    </w:r>
    <w:r>
      <w:t xml:space="preserve"> v</w:t>
    </w:r>
    <w:r w:rsidR="000C5179">
      <w:t>5</w:t>
    </w:r>
  </w:p>
  <w:p w:rsidR="002901D9" w:rsidRPr="004B3024" w:rsidP="00B9595A" w14:paraId="229588AC" w14:textId="77777777">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0003B4">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0003B4">
      <w:rPr>
        <w:noProof/>
      </w:rPr>
      <w:t>2</w:t>
    </w:r>
    <w:r w:rsidRPr="184C0106">
      <w:rPr>
        <w:noProof/>
      </w:rPr>
      <w:fldChar w:fldCharType="end"/>
    </w:r>
  </w:p>
  <w:p w:rsidR="002901D9" w:rsidRPr="00B9595A" w:rsidP="00B9595A" w14:paraId="79C2BB41" w14:textId="62ED2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P="00B9595A" w14:paraId="628960EC" w14:textId="1FA19F5A">
    <w:pPr>
      <w:pStyle w:val="Header"/>
      <w:jc w:val="right"/>
    </w:pPr>
    <w:r>
      <w:t>HCS</w:t>
    </w:r>
    <w:r>
      <w:t>/</w:t>
    </w:r>
    <w:r w:rsidR="00090B99">
      <w:t>385</w:t>
    </w:r>
    <w:r>
      <w:t xml:space="preserve"> v</w:t>
    </w:r>
    <w:r w:rsidR="000C5179">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5234D"/>
    <w:multiLevelType w:val="hybridMultilevel"/>
    <w:tmpl w:val="8D34AD48"/>
    <w:lvl w:ilvl="0">
      <w:start w:val="0"/>
      <w:numFmt w:val="bullet"/>
      <w:lvlText w:val="•"/>
      <w:lvlJc w:val="left"/>
      <w:pPr>
        <w:ind w:left="1080" w:hanging="72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D65194B"/>
    <w:multiLevelType w:val="hybridMultilevel"/>
    <w:tmpl w:val="FF0038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3DD559E"/>
    <w:multiLevelType w:val="hybridMultilevel"/>
    <w:tmpl w:val="A1466468"/>
    <w:lvl w:ilvl="0">
      <w:start w:val="1"/>
      <w:numFmt w:val="decimal"/>
      <w:pStyle w:val="Numberedlist"/>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68195387"/>
    <w:multiLevelType w:val="hybridMultilevel"/>
    <w:tmpl w:val="6B82B4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738C2362"/>
    <w:multiLevelType w:val="hybridMultilevel"/>
    <w:tmpl w:val="5D76D8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LockThe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74F"/>
    <w:rsid w:val="000003B4"/>
    <w:rsid w:val="000604FD"/>
    <w:rsid w:val="00090B99"/>
    <w:rsid w:val="000A4BAF"/>
    <w:rsid w:val="000C0803"/>
    <w:rsid w:val="000C2C6A"/>
    <w:rsid w:val="000C5179"/>
    <w:rsid w:val="000D2169"/>
    <w:rsid w:val="000F0903"/>
    <w:rsid w:val="0013181E"/>
    <w:rsid w:val="001519EB"/>
    <w:rsid w:val="001602BB"/>
    <w:rsid w:val="00187011"/>
    <w:rsid w:val="001A2683"/>
    <w:rsid w:val="001B4CFD"/>
    <w:rsid w:val="001C098D"/>
    <w:rsid w:val="00201214"/>
    <w:rsid w:val="00201A34"/>
    <w:rsid w:val="00207997"/>
    <w:rsid w:val="00212C3B"/>
    <w:rsid w:val="00213423"/>
    <w:rsid w:val="0022245A"/>
    <w:rsid w:val="00224434"/>
    <w:rsid w:val="00250EB0"/>
    <w:rsid w:val="00270C10"/>
    <w:rsid w:val="002756E2"/>
    <w:rsid w:val="00280CBD"/>
    <w:rsid w:val="002901D9"/>
    <w:rsid w:val="0033144D"/>
    <w:rsid w:val="00333EB5"/>
    <w:rsid w:val="0036524F"/>
    <w:rsid w:val="00377506"/>
    <w:rsid w:val="00407A01"/>
    <w:rsid w:val="0041298B"/>
    <w:rsid w:val="00427F4C"/>
    <w:rsid w:val="00430DDF"/>
    <w:rsid w:val="004500DE"/>
    <w:rsid w:val="00477F69"/>
    <w:rsid w:val="004B3024"/>
    <w:rsid w:val="005002EC"/>
    <w:rsid w:val="00532293"/>
    <w:rsid w:val="00533D6E"/>
    <w:rsid w:val="00546A6C"/>
    <w:rsid w:val="00560D09"/>
    <w:rsid w:val="005702EF"/>
    <w:rsid w:val="00580E27"/>
    <w:rsid w:val="005A0EAE"/>
    <w:rsid w:val="005C2614"/>
    <w:rsid w:val="005F5BC8"/>
    <w:rsid w:val="00610F20"/>
    <w:rsid w:val="00654497"/>
    <w:rsid w:val="00661DA7"/>
    <w:rsid w:val="0066315B"/>
    <w:rsid w:val="006B46D2"/>
    <w:rsid w:val="006C13F2"/>
    <w:rsid w:val="006C691C"/>
    <w:rsid w:val="007248E5"/>
    <w:rsid w:val="00776416"/>
    <w:rsid w:val="00794A55"/>
    <w:rsid w:val="007A0EAB"/>
    <w:rsid w:val="007D27DB"/>
    <w:rsid w:val="007E78F8"/>
    <w:rsid w:val="007F4E3B"/>
    <w:rsid w:val="0080064B"/>
    <w:rsid w:val="0080155F"/>
    <w:rsid w:val="00840CF8"/>
    <w:rsid w:val="00855907"/>
    <w:rsid w:val="00857C46"/>
    <w:rsid w:val="00874196"/>
    <w:rsid w:val="00884DF3"/>
    <w:rsid w:val="00885538"/>
    <w:rsid w:val="008E3E2A"/>
    <w:rsid w:val="008F35EB"/>
    <w:rsid w:val="00933028"/>
    <w:rsid w:val="00935086"/>
    <w:rsid w:val="00935F80"/>
    <w:rsid w:val="0098520B"/>
    <w:rsid w:val="00985E25"/>
    <w:rsid w:val="009C241D"/>
    <w:rsid w:val="009C48ED"/>
    <w:rsid w:val="009E0D9C"/>
    <w:rsid w:val="009F5E79"/>
    <w:rsid w:val="00A03896"/>
    <w:rsid w:val="00A14190"/>
    <w:rsid w:val="00A265EA"/>
    <w:rsid w:val="00A5156F"/>
    <w:rsid w:val="00A621B0"/>
    <w:rsid w:val="00AB1EBC"/>
    <w:rsid w:val="00AF153F"/>
    <w:rsid w:val="00B1207F"/>
    <w:rsid w:val="00B3325E"/>
    <w:rsid w:val="00B57EB5"/>
    <w:rsid w:val="00B7574F"/>
    <w:rsid w:val="00B8060E"/>
    <w:rsid w:val="00B86A4B"/>
    <w:rsid w:val="00B9595A"/>
    <w:rsid w:val="00BB5A67"/>
    <w:rsid w:val="00BC466B"/>
    <w:rsid w:val="00BD0311"/>
    <w:rsid w:val="00BD1A9B"/>
    <w:rsid w:val="00BF403E"/>
    <w:rsid w:val="00C032FD"/>
    <w:rsid w:val="00C55504"/>
    <w:rsid w:val="00C610B2"/>
    <w:rsid w:val="00C64AC7"/>
    <w:rsid w:val="00C7408B"/>
    <w:rsid w:val="00C8278F"/>
    <w:rsid w:val="00CC6145"/>
    <w:rsid w:val="00D2123C"/>
    <w:rsid w:val="00D33014"/>
    <w:rsid w:val="00D3649C"/>
    <w:rsid w:val="00D6041F"/>
    <w:rsid w:val="00D93C57"/>
    <w:rsid w:val="00DA2EA0"/>
    <w:rsid w:val="00DE1A94"/>
    <w:rsid w:val="00E2157E"/>
    <w:rsid w:val="00E22BF2"/>
    <w:rsid w:val="00E22D25"/>
    <w:rsid w:val="00E65CEA"/>
    <w:rsid w:val="00E710B7"/>
    <w:rsid w:val="00EA5590"/>
    <w:rsid w:val="00ED01FB"/>
    <w:rsid w:val="00F7576F"/>
    <w:rsid w:val="00F767C6"/>
    <w:rsid w:val="00FF6339"/>
    <w:rsid w:val="17072597"/>
    <w:rsid w:val="184C0106"/>
    <w:rsid w:val="26788116"/>
  </w:rsids>
  <w:docVars>
    <w:docVar w:name="__Grammarly_42___1" w:val="H4sIAAAAAAAEAKtWcslP9kxRslIyNDY0NzQ3MTIwNzI1Mzc0M7JU0lEKTi0uzszPAykwMqgFAPPiyL8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88E664"/>
  <w15:chartTrackingRefBased/>
  <w15:docId w15:val="{C01E2FE2-C840-416F-A3E6-E8F0A19A0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hAnsi="Roboto Medium"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hAnsi="Arial" w:eastAsiaTheme="majorEastAsia"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hAnsi="Arial" w:eastAsiaTheme="majorEastAsia"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hAnsi="Roboto Medium" w:eastAsiaTheme="majorEastAsia"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hAnsi="Roboto Medium" w:eastAsiaTheme="majorEastAsia"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hAnsi="Roboto Medium" w:eastAsiaTheme="majorEastAsia"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styleId="BalloonText">
    <w:name w:val="Balloon Text"/>
    <w:basedOn w:val="Normal"/>
    <w:link w:val="BalloonTextChar"/>
    <w:uiPriority w:val="99"/>
    <w:semiHidden/>
    <w:unhideWhenUsed/>
    <w:rsid w:val="009F5E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E79"/>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661DA7"/>
    <w:rPr>
      <w:sz w:val="16"/>
      <w:szCs w:val="16"/>
    </w:rPr>
  </w:style>
  <w:style w:type="paragraph" w:styleId="CommentText">
    <w:name w:val="annotation text"/>
    <w:basedOn w:val="Normal"/>
    <w:link w:val="CommentTextChar"/>
    <w:uiPriority w:val="99"/>
    <w:semiHidden/>
    <w:unhideWhenUsed/>
    <w:rsid w:val="00661DA7"/>
    <w:rPr>
      <w:szCs w:val="20"/>
    </w:rPr>
  </w:style>
  <w:style w:type="character" w:customStyle="1" w:styleId="CommentTextChar">
    <w:name w:val="Comment Text Char"/>
    <w:basedOn w:val="DefaultParagraphFont"/>
    <w:link w:val="CommentText"/>
    <w:uiPriority w:val="99"/>
    <w:semiHidden/>
    <w:rsid w:val="00661DA7"/>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61DA7"/>
    <w:rPr>
      <w:b/>
      <w:bCs/>
    </w:rPr>
  </w:style>
  <w:style w:type="character" w:customStyle="1" w:styleId="CommentSubjectChar">
    <w:name w:val="Comment Subject Char"/>
    <w:basedOn w:val="CommentTextChar"/>
    <w:link w:val="CommentSubject"/>
    <w:uiPriority w:val="99"/>
    <w:semiHidden/>
    <w:rsid w:val="00661DA7"/>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5DE33319-2B1D-45BB-8E83-27C2F9707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19452F7A-BB84-4754-9AE4-0CE85D5AC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user</cp:lastModifiedBy>
  <cp:revision>9</cp:revision>
  <dcterms:created xsi:type="dcterms:W3CDTF">2021-01-17T19:28:00Z</dcterms:created>
  <dcterms:modified xsi:type="dcterms:W3CDTF">2021-01-18T06:57:00Z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