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4B0" w:rsidRPr="00323A1C" w:rsidRDefault="004554B0" w:rsidP="00323A1C">
      <w:pPr>
        <w:spacing w:line="480" w:lineRule="auto"/>
        <w:rPr>
          <w:rFonts w:ascii="Times New Roman" w:hAnsi="Times New Roman" w:cs="Times New Roman"/>
          <w:sz w:val="24"/>
          <w:szCs w:val="24"/>
        </w:rPr>
      </w:pPr>
      <w:bookmarkStart w:id="0" w:name="_GoBack"/>
      <w:bookmarkEnd w:id="0"/>
      <w:r w:rsidRPr="00323A1C">
        <w:rPr>
          <w:rFonts w:ascii="Times New Roman" w:hAnsi="Times New Roman" w:cs="Times New Roman"/>
          <w:sz w:val="24"/>
          <w:szCs w:val="24"/>
        </w:rPr>
        <w:t xml:space="preserve">Hemabate stimulates the </w:t>
      </w:r>
      <w:r w:rsidR="00323A1C">
        <w:rPr>
          <w:rFonts w:ascii="Times New Roman" w:hAnsi="Times New Roman" w:cs="Times New Roman"/>
          <w:sz w:val="24"/>
          <w:szCs w:val="24"/>
        </w:rPr>
        <w:t>gravid uterus myometrial contract</w:t>
      </w:r>
      <w:r w:rsidRPr="00323A1C">
        <w:rPr>
          <w:rFonts w:ascii="Times New Roman" w:hAnsi="Times New Roman" w:cs="Times New Roman"/>
          <w:sz w:val="24"/>
          <w:szCs w:val="24"/>
        </w:rPr>
        <w:t xml:space="preserve">ions that are same to what is usually experienced during labor contradictions at the end of the full term </w:t>
      </w:r>
      <w:r w:rsidR="00323A1C" w:rsidRPr="00323A1C">
        <w:rPr>
          <w:rFonts w:ascii="Times New Roman" w:hAnsi="Times New Roman" w:cs="Times New Roman"/>
          <w:sz w:val="24"/>
          <w:szCs w:val="24"/>
        </w:rPr>
        <w:t>pregnancy. The</w:t>
      </w:r>
      <w:r w:rsidRPr="00323A1C">
        <w:rPr>
          <w:rFonts w:ascii="Times New Roman" w:hAnsi="Times New Roman" w:cs="Times New Roman"/>
          <w:sz w:val="24"/>
          <w:szCs w:val="24"/>
        </w:rPr>
        <w:t xml:space="preserve"> contractions evacuate the products of conception before the full term of gestation </w:t>
      </w:r>
      <w:r w:rsidR="00323A1C" w:rsidRPr="00323A1C">
        <w:rPr>
          <w:rFonts w:ascii="Times New Roman" w:hAnsi="Times New Roman" w:cs="Times New Roman"/>
          <w:sz w:val="24"/>
          <w:szCs w:val="24"/>
        </w:rPr>
        <w:t>always. The</w:t>
      </w:r>
      <w:r w:rsidRPr="00323A1C">
        <w:rPr>
          <w:rFonts w:ascii="Times New Roman" w:hAnsi="Times New Roman" w:cs="Times New Roman"/>
          <w:sz w:val="24"/>
          <w:szCs w:val="24"/>
        </w:rPr>
        <w:t xml:space="preserve"> resultant of the myometrial contractions is called the postpartum, and it provides homeostasis at the site of implantation.</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Complications</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The complications may include Acute pelvic inflammatory disease, Hypersensitivity(including angioedema and anaphylaxis)to hemabate sterile solution and patients with active cardiac, renal or hepatic or pulmonary disease</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Precautions</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The abortion that has been initiated with hemabate may be incomplete in the 20% of the cases of abortion.Another cares the examinations of the cervix for cervical trauma although the incident of the cervical injury is very rare. The use of Hemabate has been associated with transient pyrexia that may bring by the effect of hypothalamic thermoregulation.The temperatures increased tremendously in some cases.In most cases, the temperature usually return to normal once the abortion is complete</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Therapeutic use</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HEMABATE Sterile Solution is indicated for aborting pregnancy between the 13th and 20th weeks of gestation as calculated from the first day of the last regular menstrual period and in the following conditions related to second-trimester abortion</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Interactions</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lastRenderedPageBreak/>
        <w:t>There are no known drug interactions of hemabate however when it comes to diseases interaction the drug should administer cautiously to individuals with known cardiovascular complications</w:t>
      </w:r>
    </w:p>
    <w:p w:rsidR="004554B0" w:rsidRPr="00323A1C" w:rsidRDefault="004554B0" w:rsidP="00323A1C">
      <w:pPr>
        <w:spacing w:line="480" w:lineRule="auto"/>
        <w:rPr>
          <w:rFonts w:ascii="Times New Roman" w:hAnsi="Times New Roman" w:cs="Times New Roman"/>
          <w:sz w:val="24"/>
          <w:szCs w:val="24"/>
        </w:rPr>
      </w:pP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Medication Administration</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Hemabate is administered intermuscular via an initial dose of  1Ml sterile solution(the equivalent of 250 micrograms of carboprost) by the use of tuberculin syringe. The subsequent doses of 250 micrograms should be administered at 1½ to 3½ hour intervals dependent on the uterine response</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The total dosage administered of Hemabate should not surpass 12 milligrams and constant administration for more than two days is not recommended</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Evaluation of medical effectiveness</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Hemabate works in 80% of the individuals who take it, and it is effective when taken between  the period  between the 13th and 20th weeks of gestation from the first day of the last usual menstrual cycle and in the conditions associated to subsequent trimester abortion</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 xml:space="preserve">Nursing intervention </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May include the stoppage of excessive bleeding  that may arise and sometimes the extreme pain another essential response is  the use of another method when hemabate fails in abortion</w:t>
      </w:r>
    </w:p>
    <w:p w:rsidR="004554B0"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 xml:space="preserve">Client Education </w:t>
      </w:r>
    </w:p>
    <w:p w:rsidR="00346F43" w:rsidRPr="00323A1C" w:rsidRDefault="004554B0" w:rsidP="00323A1C">
      <w:pPr>
        <w:spacing w:line="480" w:lineRule="auto"/>
        <w:rPr>
          <w:rFonts w:ascii="Times New Roman" w:hAnsi="Times New Roman" w:cs="Times New Roman"/>
          <w:sz w:val="24"/>
          <w:szCs w:val="24"/>
        </w:rPr>
      </w:pPr>
      <w:r w:rsidRPr="00323A1C">
        <w:rPr>
          <w:rFonts w:ascii="Times New Roman" w:hAnsi="Times New Roman" w:cs="Times New Roman"/>
          <w:sz w:val="24"/>
          <w:szCs w:val="24"/>
        </w:rPr>
        <w:t>Should in involve information sharing with clients concerning the side effects, precautions and the means of administration.The should be informed of the chances of effectiveness and dangers that may arise during the use and how to mitigate the risks.</w:t>
      </w:r>
    </w:p>
    <w:sectPr w:rsidR="00346F43" w:rsidRPr="00323A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44BD9"/>
    <w:multiLevelType w:val="multilevel"/>
    <w:tmpl w:val="2A06A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7877"/>
    <w:rsid w:val="00044488"/>
    <w:rsid w:val="00242468"/>
    <w:rsid w:val="002C56D1"/>
    <w:rsid w:val="002C771C"/>
    <w:rsid w:val="00323A1C"/>
    <w:rsid w:val="00346F43"/>
    <w:rsid w:val="004554B0"/>
    <w:rsid w:val="00514D41"/>
    <w:rsid w:val="0073631F"/>
    <w:rsid w:val="00774A6B"/>
    <w:rsid w:val="00994657"/>
    <w:rsid w:val="009D5EC9"/>
    <w:rsid w:val="00A43129"/>
    <w:rsid w:val="00A87877"/>
    <w:rsid w:val="00B54171"/>
    <w:rsid w:val="00DB4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BCE535-53A4-F041-938A-2B51FFAD3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8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133193">
      <w:bodyDiv w:val="1"/>
      <w:marLeft w:val="0"/>
      <w:marRight w:val="0"/>
      <w:marTop w:val="0"/>
      <w:marBottom w:val="0"/>
      <w:divBdr>
        <w:top w:val="none" w:sz="0" w:space="0" w:color="auto"/>
        <w:left w:val="none" w:sz="0" w:space="0" w:color="auto"/>
        <w:bottom w:val="none" w:sz="0" w:space="0" w:color="auto"/>
        <w:right w:val="none" w:sz="0" w:space="0" w:color="auto"/>
      </w:divBdr>
    </w:div>
    <w:div w:id="997807175">
      <w:bodyDiv w:val="1"/>
      <w:marLeft w:val="0"/>
      <w:marRight w:val="0"/>
      <w:marTop w:val="0"/>
      <w:marBottom w:val="0"/>
      <w:divBdr>
        <w:top w:val="none" w:sz="0" w:space="0" w:color="auto"/>
        <w:left w:val="none" w:sz="0" w:space="0" w:color="auto"/>
        <w:bottom w:val="none" w:sz="0" w:space="0" w:color="auto"/>
        <w:right w:val="none" w:sz="0" w:space="0" w:color="auto"/>
      </w:divBdr>
    </w:div>
    <w:div w:id="1078555247">
      <w:bodyDiv w:val="1"/>
      <w:marLeft w:val="0"/>
      <w:marRight w:val="0"/>
      <w:marTop w:val="0"/>
      <w:marBottom w:val="0"/>
      <w:divBdr>
        <w:top w:val="none" w:sz="0" w:space="0" w:color="auto"/>
        <w:left w:val="none" w:sz="0" w:space="0" w:color="auto"/>
        <w:bottom w:val="none" w:sz="0" w:space="0" w:color="auto"/>
        <w:right w:val="none" w:sz="0" w:space="0" w:color="auto"/>
      </w:divBdr>
    </w:div>
    <w:div w:id="21213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Vincent Katithi</cp:lastModifiedBy>
  <cp:revision>2</cp:revision>
  <dcterms:created xsi:type="dcterms:W3CDTF">2017-12-28T19:07:00Z</dcterms:created>
  <dcterms:modified xsi:type="dcterms:W3CDTF">2017-12-28T19:07:00Z</dcterms:modified>
</cp:coreProperties>
</file>