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37FFE"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1E05893A"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7EC6C253"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3CED7180"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2A120D68"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39A1857D"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5F81F8FD"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02C0B79C"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4C25EFC1" w14:textId="77777777" w:rsidR="00B50659" w:rsidRDefault="00B50659" w:rsidP="00B50659">
      <w:pPr>
        <w:spacing w:after="0" w:line="480" w:lineRule="auto"/>
        <w:jc w:val="center"/>
        <w:rPr>
          <w:rFonts w:ascii="Times New Roman" w:hAnsi="Times New Roman" w:cs="Times New Roman"/>
          <w:color w:val="1B1B1B"/>
          <w:sz w:val="24"/>
          <w:szCs w:val="24"/>
          <w:shd w:val="clear" w:color="auto" w:fill="FFFFFF"/>
        </w:rPr>
      </w:pPr>
    </w:p>
    <w:p w14:paraId="4FF0433A" w14:textId="3650930B" w:rsidR="00B50659" w:rsidRPr="00B50659" w:rsidRDefault="00B50659" w:rsidP="00B50659">
      <w:pPr>
        <w:spacing w:after="0" w:line="480" w:lineRule="auto"/>
        <w:jc w:val="center"/>
        <w:rPr>
          <w:rFonts w:ascii="Times New Roman" w:hAnsi="Times New Roman" w:cs="Times New Roman"/>
          <w:color w:val="1B1B1B"/>
          <w:sz w:val="24"/>
          <w:szCs w:val="24"/>
          <w:shd w:val="clear" w:color="auto" w:fill="FFFFFF"/>
        </w:rPr>
      </w:pPr>
      <w:r w:rsidRPr="00B50659">
        <w:rPr>
          <w:rFonts w:ascii="Times New Roman" w:hAnsi="Times New Roman" w:cs="Times New Roman"/>
          <w:color w:val="1B1B1B"/>
          <w:sz w:val="24"/>
          <w:szCs w:val="24"/>
          <w:shd w:val="clear" w:color="auto" w:fill="FFFFFF"/>
        </w:rPr>
        <w:t>Introductory Statistics</w:t>
      </w:r>
    </w:p>
    <w:p w14:paraId="4F4FF3E4" w14:textId="77777777" w:rsidR="00B50659" w:rsidRPr="00B50659" w:rsidRDefault="00B50659" w:rsidP="00B50659">
      <w:pPr>
        <w:spacing w:after="0" w:line="480" w:lineRule="auto"/>
        <w:jc w:val="center"/>
        <w:rPr>
          <w:rFonts w:ascii="Times New Roman" w:hAnsi="Times New Roman" w:cs="Times New Roman"/>
          <w:color w:val="1B1B1B"/>
          <w:sz w:val="24"/>
          <w:szCs w:val="24"/>
          <w:shd w:val="clear" w:color="auto" w:fill="FFFFFF"/>
        </w:rPr>
      </w:pPr>
      <w:r w:rsidRPr="00B50659">
        <w:rPr>
          <w:rFonts w:ascii="Times New Roman" w:hAnsi="Times New Roman" w:cs="Times New Roman"/>
          <w:color w:val="1B1B1B"/>
          <w:sz w:val="24"/>
          <w:szCs w:val="24"/>
          <w:shd w:val="clear" w:color="auto" w:fill="FFFFFF"/>
        </w:rPr>
        <w:t>Student’s Name</w:t>
      </w:r>
    </w:p>
    <w:p w14:paraId="2C7174EA" w14:textId="494C5A47" w:rsidR="00B50659" w:rsidRPr="00B50659" w:rsidRDefault="00B50659" w:rsidP="00B50659">
      <w:pPr>
        <w:spacing w:after="0" w:line="480" w:lineRule="auto"/>
        <w:jc w:val="center"/>
        <w:rPr>
          <w:rFonts w:ascii="Times New Roman" w:hAnsi="Times New Roman" w:cs="Times New Roman"/>
          <w:noProof/>
          <w:sz w:val="24"/>
          <w:szCs w:val="24"/>
          <w:lang w:val="en-US"/>
        </w:rPr>
      </w:pPr>
      <w:r w:rsidRPr="00B50659">
        <w:rPr>
          <w:rFonts w:ascii="Times New Roman" w:hAnsi="Times New Roman" w:cs="Times New Roman"/>
          <w:color w:val="1B1B1B"/>
          <w:sz w:val="24"/>
          <w:szCs w:val="24"/>
          <w:shd w:val="clear" w:color="auto" w:fill="FFFFFF"/>
        </w:rPr>
        <w:t xml:space="preserve">University </w:t>
      </w:r>
      <w:r w:rsidRPr="00B50659">
        <w:rPr>
          <w:rFonts w:ascii="Times New Roman" w:hAnsi="Times New Roman" w:cs="Times New Roman"/>
          <w:noProof/>
          <w:sz w:val="24"/>
          <w:szCs w:val="24"/>
          <w:lang w:val="en-US"/>
        </w:rPr>
        <w:br w:type="page"/>
      </w:r>
    </w:p>
    <w:p w14:paraId="3DF774F6" w14:textId="77777777" w:rsidR="00255C59" w:rsidRPr="00B50659" w:rsidRDefault="00B50659" w:rsidP="00255C59">
      <w:pPr>
        <w:spacing w:after="0" w:line="480" w:lineRule="auto"/>
        <w:jc w:val="center"/>
        <w:rPr>
          <w:rFonts w:ascii="Times New Roman" w:hAnsi="Times New Roman" w:cs="Times New Roman"/>
          <w:sz w:val="24"/>
          <w:szCs w:val="24"/>
        </w:rPr>
      </w:pPr>
      <w:r w:rsidRPr="00B50659">
        <w:rPr>
          <w:rFonts w:ascii="Times New Roman" w:hAnsi="Times New Roman" w:cs="Times New Roman"/>
          <w:noProof/>
          <w:sz w:val="24"/>
          <w:szCs w:val="24"/>
          <w:lang w:val="en-US"/>
        </w:rPr>
        <w:lastRenderedPageBreak/>
        <w:drawing>
          <wp:anchor distT="0" distB="0" distL="114300" distR="114300" simplePos="0" relativeHeight="251660288" behindDoc="1" locked="0" layoutInCell="1" allowOverlap="1" wp14:anchorId="5C3FB25A" wp14:editId="6BD9FBF0">
            <wp:simplePos x="0" y="0"/>
            <wp:positionH relativeFrom="margin">
              <wp:posOffset>-83820</wp:posOffset>
            </wp:positionH>
            <wp:positionV relativeFrom="paragraph">
              <wp:posOffset>518160</wp:posOffset>
            </wp:positionV>
            <wp:extent cx="5730240" cy="4625340"/>
            <wp:effectExtent l="0" t="0" r="3810" b="3810"/>
            <wp:wrapTight wrapText="bothSides">
              <wp:wrapPolygon edited="0">
                <wp:start x="0" y="0"/>
                <wp:lineTo x="0" y="21529"/>
                <wp:lineTo x="21543" y="21529"/>
                <wp:lineTo x="21543" y="0"/>
                <wp:lineTo x="0" y="0"/>
              </wp:wrapPolygon>
            </wp:wrapTight>
            <wp:docPr id="1" name="Chart 1">
              <a:extLst xmlns:a="http://schemas.openxmlformats.org/drawingml/2006/main">
                <a:ext uri="{FF2B5EF4-FFF2-40B4-BE49-F238E27FC236}">
                  <a16:creationId xmlns:a16="http://schemas.microsoft.com/office/drawing/2014/main" id="{B4E0BA20-7A82-4668-B7EB-B3A8AA4EF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rsidRPr="00B50659">
        <w:rPr>
          <w:rFonts w:ascii="Times New Roman" w:hAnsi="Times New Roman" w:cs="Times New Roman"/>
          <w:noProof/>
          <w:sz w:val="24"/>
          <w:szCs w:val="24"/>
          <w:lang w:val="en-US"/>
        </w:rPr>
        <w:t xml:space="preserve"> </w:t>
      </w:r>
      <w:r w:rsidR="00255C59">
        <w:rPr>
          <w:rFonts w:ascii="Times New Roman" w:hAnsi="Times New Roman" w:cs="Times New Roman"/>
          <w:sz w:val="24"/>
          <w:szCs w:val="24"/>
        </w:rPr>
        <w:t>Analysis</w:t>
      </w:r>
      <w:bookmarkStart w:id="0" w:name="_GoBack"/>
      <w:bookmarkEnd w:id="0"/>
    </w:p>
    <w:p w14:paraId="619996EB" w14:textId="2CA87540" w:rsidR="00B50659" w:rsidRPr="00B50659" w:rsidRDefault="00B50659" w:rsidP="00B50659">
      <w:pPr>
        <w:spacing w:after="0" w:line="480" w:lineRule="auto"/>
        <w:rPr>
          <w:rFonts w:ascii="Times New Roman" w:hAnsi="Times New Roman" w:cs="Times New Roman"/>
          <w:noProof/>
          <w:sz w:val="24"/>
          <w:szCs w:val="24"/>
          <w:lang w:val="en-US"/>
        </w:rPr>
      </w:pPr>
    </w:p>
    <w:p w14:paraId="5218669F" w14:textId="77777777" w:rsidR="00255C59" w:rsidRDefault="00255C59" w:rsidP="00B50659">
      <w:pPr>
        <w:spacing w:after="0" w:line="480" w:lineRule="auto"/>
        <w:ind w:firstLine="720"/>
        <w:rPr>
          <w:rFonts w:ascii="Times New Roman" w:hAnsi="Times New Roman" w:cs="Times New Roman"/>
          <w:sz w:val="24"/>
          <w:szCs w:val="24"/>
        </w:rPr>
      </w:pPr>
    </w:p>
    <w:p w14:paraId="1717A448" w14:textId="77777777" w:rsidR="00255C59" w:rsidRDefault="00255C59" w:rsidP="00B50659">
      <w:pPr>
        <w:spacing w:after="0" w:line="480" w:lineRule="auto"/>
        <w:ind w:firstLine="720"/>
        <w:rPr>
          <w:rFonts w:ascii="Times New Roman" w:hAnsi="Times New Roman" w:cs="Times New Roman"/>
          <w:sz w:val="24"/>
          <w:szCs w:val="24"/>
        </w:rPr>
      </w:pPr>
    </w:p>
    <w:p w14:paraId="6AED9347" w14:textId="2E5F3F99" w:rsidR="00B50659" w:rsidRPr="00B50659" w:rsidRDefault="00B50659" w:rsidP="00B50659">
      <w:pPr>
        <w:spacing w:after="0" w:line="480" w:lineRule="auto"/>
        <w:ind w:firstLine="720"/>
        <w:rPr>
          <w:rFonts w:ascii="Times New Roman" w:hAnsi="Times New Roman" w:cs="Times New Roman"/>
          <w:sz w:val="24"/>
          <w:szCs w:val="24"/>
        </w:rPr>
      </w:pPr>
      <w:r w:rsidRPr="00B50659">
        <w:rPr>
          <w:rFonts w:ascii="Times New Roman" w:hAnsi="Times New Roman" w:cs="Times New Roman"/>
          <w:sz w:val="24"/>
          <w:szCs w:val="24"/>
        </w:rPr>
        <w:t>The mean age of the women in this sample is 27 years old. I believe this is grounds to reject the null hypothesis; the mean age is ten years lower than the expected age of 37. 27 years is approximately 1.7 standard deviations from the hypothesized mean of 37. The modal age of the sample is 23 years, and the median age is 26 years. The 92nd percentile is 37, only 8% of the entire sample is greater than or equal to 37.</w:t>
      </w:r>
    </w:p>
    <w:p w14:paraId="3737F258" w14:textId="77777777" w:rsidR="00B50659" w:rsidRPr="00B50659" w:rsidRDefault="00B50659" w:rsidP="00B50659">
      <w:pPr>
        <w:spacing w:after="0" w:line="480" w:lineRule="auto"/>
        <w:ind w:firstLine="720"/>
        <w:rPr>
          <w:rFonts w:ascii="Times New Roman" w:hAnsi="Times New Roman" w:cs="Times New Roman"/>
          <w:sz w:val="24"/>
          <w:szCs w:val="24"/>
        </w:rPr>
      </w:pPr>
      <w:r w:rsidRPr="00B50659">
        <w:rPr>
          <w:rFonts w:ascii="Times New Roman" w:hAnsi="Times New Roman" w:cs="Times New Roman"/>
          <w:sz w:val="24"/>
          <w:szCs w:val="24"/>
        </w:rPr>
        <w:t xml:space="preserve">The standard deviation of this data is 5.80 years. The first quartile of this data is 23. The third quartile is 31. Hence, the interquartile range is 8. This shows that the information is </w:t>
      </w:r>
      <w:r w:rsidRPr="00B50659">
        <w:rPr>
          <w:rFonts w:ascii="Times New Roman" w:hAnsi="Times New Roman" w:cs="Times New Roman"/>
          <w:sz w:val="24"/>
          <w:szCs w:val="24"/>
        </w:rPr>
        <w:lastRenderedPageBreak/>
        <w:t xml:space="preserve">quite dense about the mean, further exemplified by the end classes' lack of density. The frequency of women aged less than 18 and more than 42 in 20, compared to the total sample size of 1190, which is a very small proportion of the sample.  </w:t>
      </w:r>
    </w:p>
    <w:p w14:paraId="7858F501" w14:textId="77777777" w:rsidR="00B50659" w:rsidRPr="00B50659" w:rsidRDefault="00B50659" w:rsidP="00B50659">
      <w:pPr>
        <w:spacing w:after="0" w:line="480" w:lineRule="auto"/>
        <w:ind w:firstLine="720"/>
        <w:rPr>
          <w:rFonts w:ascii="Times New Roman" w:hAnsi="Times New Roman" w:cs="Times New Roman"/>
          <w:sz w:val="24"/>
          <w:szCs w:val="24"/>
        </w:rPr>
      </w:pPr>
      <w:r w:rsidRPr="00B50659">
        <w:rPr>
          <w:rFonts w:ascii="Times New Roman" w:hAnsi="Times New Roman" w:cs="Times New Roman"/>
          <w:sz w:val="24"/>
          <w:szCs w:val="24"/>
        </w:rPr>
        <w:t xml:space="preserve">The distribution of data in the sample is not symmetric; it is skewed to the left. We can tell this from the graph's shape and the mean being higher than the median age. The average age that a person might begin menopause is 51, beyond this date range, but can be experienced from as early 45. (NHS, 2018). Hence this is probably not a factor affecting the graph. </w:t>
      </w:r>
    </w:p>
    <w:p w14:paraId="07BC1BCE" w14:textId="77777777" w:rsidR="00B50659" w:rsidRPr="00B50659" w:rsidRDefault="00B50659" w:rsidP="00B50659">
      <w:pPr>
        <w:spacing w:after="0" w:line="480" w:lineRule="auto"/>
        <w:ind w:firstLine="720"/>
        <w:rPr>
          <w:rFonts w:ascii="Times New Roman" w:hAnsi="Times New Roman" w:cs="Times New Roman"/>
          <w:sz w:val="24"/>
          <w:szCs w:val="24"/>
        </w:rPr>
      </w:pPr>
      <w:r w:rsidRPr="00B50659">
        <w:rPr>
          <w:rFonts w:ascii="Times New Roman" w:hAnsi="Times New Roman" w:cs="Times New Roman"/>
          <w:sz w:val="24"/>
          <w:szCs w:val="24"/>
        </w:rPr>
        <w:t>A study mentioned in 'The New York Times' explains that women's ages have increased from 21 in 1976 to 26 in 2016 (Bui and Miller, 2018). This means that although women wait to have children when they're a bit older, it is still common to give birth at a young age. This explains the skew in the graph toward the ages younger than the mean.</w:t>
      </w:r>
    </w:p>
    <w:p w14:paraId="7643735A" w14:textId="56836BCD" w:rsidR="008420FC" w:rsidRPr="00B50659" w:rsidRDefault="00B50659" w:rsidP="00B50659">
      <w:pPr>
        <w:spacing w:after="0" w:line="480" w:lineRule="auto"/>
        <w:ind w:firstLine="720"/>
        <w:rPr>
          <w:rFonts w:ascii="Times New Roman" w:hAnsi="Times New Roman" w:cs="Times New Roman"/>
          <w:sz w:val="24"/>
          <w:szCs w:val="24"/>
        </w:rPr>
      </w:pPr>
      <w:r w:rsidRPr="00B50659">
        <w:rPr>
          <w:rFonts w:ascii="Times New Roman" w:hAnsi="Times New Roman" w:cs="Times New Roman"/>
          <w:sz w:val="24"/>
          <w:szCs w:val="24"/>
        </w:rPr>
        <w:t>The Cleveland Clinic website tells us that women are born with a limited amount of eggs. Only 300,000 eggs remain at the start of puberty and decrease in quality and amount throughout the woman's lifespan – this can explain why it would be easier for women to have children around 27 years old (Cleveland Clinic, 2019). The fertility of women declines steeply until menopause when fertility becomes virtually impossible.</w:t>
      </w:r>
    </w:p>
    <w:p w14:paraId="6D18DAAB" w14:textId="77777777" w:rsidR="00B50659" w:rsidRPr="00B50659" w:rsidRDefault="00B50659" w:rsidP="00B50659">
      <w:pPr>
        <w:spacing w:after="0" w:line="480" w:lineRule="auto"/>
        <w:rPr>
          <w:rFonts w:ascii="Times New Roman" w:hAnsi="Times New Roman" w:cs="Times New Roman"/>
          <w:sz w:val="24"/>
          <w:szCs w:val="24"/>
        </w:rPr>
      </w:pPr>
      <w:r w:rsidRPr="00B50659">
        <w:rPr>
          <w:rFonts w:ascii="Times New Roman" w:hAnsi="Times New Roman" w:cs="Times New Roman"/>
          <w:sz w:val="24"/>
          <w:szCs w:val="24"/>
        </w:rPr>
        <w:br w:type="page"/>
      </w:r>
    </w:p>
    <w:p w14:paraId="401AD3AD" w14:textId="4F2C2F21" w:rsidR="008420FC" w:rsidRPr="00B50659" w:rsidRDefault="008420FC" w:rsidP="00B50659">
      <w:pPr>
        <w:spacing w:after="0" w:line="480" w:lineRule="auto"/>
        <w:jc w:val="center"/>
        <w:rPr>
          <w:rFonts w:ascii="Times New Roman" w:hAnsi="Times New Roman" w:cs="Times New Roman"/>
          <w:sz w:val="24"/>
          <w:szCs w:val="24"/>
        </w:rPr>
      </w:pPr>
      <w:r w:rsidRPr="00B50659">
        <w:rPr>
          <w:rFonts w:ascii="Times New Roman" w:hAnsi="Times New Roman" w:cs="Times New Roman"/>
          <w:sz w:val="24"/>
          <w:szCs w:val="24"/>
        </w:rPr>
        <w:lastRenderedPageBreak/>
        <w:t>References</w:t>
      </w:r>
    </w:p>
    <w:p w14:paraId="2350522D" w14:textId="579DAE37" w:rsidR="008420FC" w:rsidRPr="00B50659" w:rsidRDefault="008420FC" w:rsidP="00B50659">
      <w:pPr>
        <w:spacing w:after="0" w:line="480" w:lineRule="auto"/>
        <w:ind w:left="720" w:hanging="720"/>
        <w:rPr>
          <w:rFonts w:ascii="Times New Roman" w:hAnsi="Times New Roman" w:cs="Times New Roman"/>
          <w:color w:val="000000"/>
          <w:sz w:val="24"/>
          <w:szCs w:val="24"/>
          <w:shd w:val="clear" w:color="auto" w:fill="FFFFFF"/>
        </w:rPr>
      </w:pPr>
      <w:r w:rsidRPr="00B50659">
        <w:rPr>
          <w:rFonts w:ascii="Times New Roman" w:hAnsi="Times New Roman" w:cs="Times New Roman"/>
          <w:color w:val="000000"/>
          <w:sz w:val="24"/>
          <w:szCs w:val="24"/>
          <w:shd w:val="clear" w:color="auto" w:fill="FFFFFF"/>
        </w:rPr>
        <w:t>Bui, Q. and Miller, C., 2018. </w:t>
      </w:r>
      <w:r w:rsidRPr="00B50659">
        <w:rPr>
          <w:rFonts w:ascii="Times New Roman" w:hAnsi="Times New Roman" w:cs="Times New Roman"/>
          <w:i/>
          <w:iCs/>
          <w:color w:val="000000"/>
          <w:sz w:val="24"/>
          <w:szCs w:val="24"/>
          <w:shd w:val="clear" w:color="auto" w:fill="FFFFFF"/>
        </w:rPr>
        <w:t>The Age That Women Have Babies: How A Gap Divides America</w:t>
      </w:r>
      <w:r w:rsidRPr="00B50659">
        <w:rPr>
          <w:rFonts w:ascii="Times New Roman" w:hAnsi="Times New Roman" w:cs="Times New Roman"/>
          <w:color w:val="000000"/>
          <w:sz w:val="24"/>
          <w:szCs w:val="24"/>
          <w:shd w:val="clear" w:color="auto" w:fill="FFFFFF"/>
        </w:rPr>
        <w:t>. [online] Nytimes.com. Available at: &lt;https://www.nytimes.com/interactive/2018/08/04/upshot/up-birth-age-gap.html#:~:text=The%20average%20age%20of%20first%2Dtime%20mothers%20is%2026%2C%20up,of%20first%20birth%20is%2031.&gt; [Accessed 26 September 2020].</w:t>
      </w:r>
    </w:p>
    <w:p w14:paraId="573153D0" w14:textId="1190E1BD" w:rsidR="007526A7" w:rsidRPr="00B50659" w:rsidRDefault="007526A7" w:rsidP="00B50659">
      <w:pPr>
        <w:spacing w:after="0" w:line="480" w:lineRule="auto"/>
        <w:ind w:left="720" w:hanging="720"/>
        <w:rPr>
          <w:rFonts w:ascii="Times New Roman" w:hAnsi="Times New Roman" w:cs="Times New Roman"/>
          <w:sz w:val="24"/>
          <w:szCs w:val="24"/>
        </w:rPr>
      </w:pPr>
      <w:r w:rsidRPr="00B50659">
        <w:rPr>
          <w:rFonts w:ascii="Times New Roman" w:hAnsi="Times New Roman" w:cs="Times New Roman"/>
          <w:color w:val="000000"/>
          <w:sz w:val="24"/>
          <w:szCs w:val="24"/>
          <w:shd w:val="clear" w:color="auto" w:fill="FFFFFF"/>
        </w:rPr>
        <w:t xml:space="preserve">Cleveland Clinic. 2019. </w:t>
      </w:r>
      <w:r w:rsidRPr="00B50659">
        <w:rPr>
          <w:rFonts w:ascii="Times New Roman" w:hAnsi="Times New Roman" w:cs="Times New Roman"/>
          <w:i/>
          <w:iCs/>
          <w:color w:val="000000"/>
          <w:sz w:val="24"/>
          <w:szCs w:val="24"/>
          <w:shd w:val="clear" w:color="auto" w:fill="FFFFFF"/>
        </w:rPr>
        <w:t>Female Reproductive System: Structure &amp; Function</w:t>
      </w:r>
      <w:r w:rsidRPr="00B50659">
        <w:rPr>
          <w:rFonts w:ascii="Times New Roman" w:hAnsi="Times New Roman" w:cs="Times New Roman"/>
          <w:color w:val="000000"/>
          <w:sz w:val="24"/>
          <w:szCs w:val="24"/>
          <w:shd w:val="clear" w:color="auto" w:fill="FFFFFF"/>
        </w:rPr>
        <w:t>. [online] Available at: &lt;https://my.clevelandclinic.org/health/articles/9118-female-reproductive-system#:~:text=At%20birth%2C%20there%20are%20approximately,quality%20of%20the%20remaining%20eggs.&gt; [Accessed 26 September 2020].</w:t>
      </w:r>
    </w:p>
    <w:p w14:paraId="0EDEDD44" w14:textId="0FA18B7F" w:rsidR="008420FC" w:rsidRPr="00B50659" w:rsidRDefault="007526A7" w:rsidP="00B50659">
      <w:pPr>
        <w:spacing w:after="0" w:line="480" w:lineRule="auto"/>
        <w:ind w:left="720" w:hanging="720"/>
        <w:rPr>
          <w:rFonts w:ascii="Times New Roman" w:hAnsi="Times New Roman" w:cs="Times New Roman"/>
          <w:color w:val="000000"/>
          <w:sz w:val="24"/>
          <w:szCs w:val="24"/>
          <w:shd w:val="clear" w:color="auto" w:fill="FFFFFF"/>
        </w:rPr>
      </w:pPr>
      <w:r w:rsidRPr="00B50659">
        <w:rPr>
          <w:rFonts w:ascii="Times New Roman" w:hAnsi="Times New Roman" w:cs="Times New Roman"/>
          <w:color w:val="000000"/>
          <w:sz w:val="24"/>
          <w:szCs w:val="24"/>
          <w:shd w:val="clear" w:color="auto" w:fill="FFFFFF"/>
        </w:rPr>
        <w:t xml:space="preserve">NHS, </w:t>
      </w:r>
      <w:r w:rsidR="008420FC" w:rsidRPr="00B50659">
        <w:rPr>
          <w:rFonts w:ascii="Times New Roman" w:hAnsi="Times New Roman" w:cs="Times New Roman"/>
          <w:color w:val="000000"/>
          <w:sz w:val="24"/>
          <w:szCs w:val="24"/>
          <w:shd w:val="clear" w:color="auto" w:fill="FFFFFF"/>
        </w:rPr>
        <w:t>nhs.uk. 2018. </w:t>
      </w:r>
      <w:r w:rsidR="008420FC" w:rsidRPr="00B50659">
        <w:rPr>
          <w:rFonts w:ascii="Times New Roman" w:hAnsi="Times New Roman" w:cs="Times New Roman"/>
          <w:i/>
          <w:iCs/>
          <w:color w:val="000000"/>
          <w:sz w:val="24"/>
          <w:szCs w:val="24"/>
          <w:shd w:val="clear" w:color="auto" w:fill="FFFFFF"/>
        </w:rPr>
        <w:t>Menopause</w:t>
      </w:r>
      <w:r w:rsidR="008420FC" w:rsidRPr="00B50659">
        <w:rPr>
          <w:rFonts w:ascii="Times New Roman" w:hAnsi="Times New Roman" w:cs="Times New Roman"/>
          <w:color w:val="000000"/>
          <w:sz w:val="24"/>
          <w:szCs w:val="24"/>
          <w:shd w:val="clear" w:color="auto" w:fill="FFFFFF"/>
        </w:rPr>
        <w:t>. [online] Available at: &lt;https://www.nhs.uk/conditions/menopause/&gt; [Accessed 25 September 2020].</w:t>
      </w:r>
    </w:p>
    <w:p w14:paraId="027D99F4" w14:textId="77777777" w:rsidR="008420FC" w:rsidRPr="00B50659" w:rsidRDefault="008420FC" w:rsidP="00B50659">
      <w:pPr>
        <w:spacing w:after="0" w:line="480" w:lineRule="auto"/>
        <w:rPr>
          <w:rFonts w:ascii="Times New Roman" w:hAnsi="Times New Roman" w:cs="Times New Roman"/>
          <w:sz w:val="24"/>
          <w:szCs w:val="24"/>
        </w:rPr>
      </w:pPr>
    </w:p>
    <w:sectPr w:rsidR="008420FC" w:rsidRPr="00B50659" w:rsidSect="00B5065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131A1" w14:textId="77777777" w:rsidR="00CF1E03" w:rsidRDefault="00CF1E03" w:rsidP="00B50659">
      <w:pPr>
        <w:spacing w:after="0" w:line="240" w:lineRule="auto"/>
      </w:pPr>
      <w:r>
        <w:separator/>
      </w:r>
    </w:p>
  </w:endnote>
  <w:endnote w:type="continuationSeparator" w:id="0">
    <w:p w14:paraId="65386A98" w14:textId="77777777" w:rsidR="00CF1E03" w:rsidRDefault="00CF1E03" w:rsidP="00B50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0C431" w14:textId="77777777" w:rsidR="00CF1E03" w:rsidRDefault="00CF1E03" w:rsidP="00B50659">
      <w:pPr>
        <w:spacing w:after="0" w:line="240" w:lineRule="auto"/>
      </w:pPr>
      <w:r>
        <w:separator/>
      </w:r>
    </w:p>
  </w:footnote>
  <w:footnote w:type="continuationSeparator" w:id="0">
    <w:p w14:paraId="28F96D37" w14:textId="77777777" w:rsidR="00CF1E03" w:rsidRDefault="00CF1E03" w:rsidP="00B50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72BBF" w14:textId="59EF42B5" w:rsidR="00B50659" w:rsidRPr="00B50659" w:rsidRDefault="00B50659" w:rsidP="00B50659">
    <w:pPr>
      <w:pStyle w:val="Header"/>
    </w:pPr>
    <w:r>
      <w:rPr>
        <w:rFonts w:ascii="Times New Roman" w:hAnsi="Times New Roman" w:cs="Times New Roman"/>
        <w:color w:val="1B1B1B"/>
        <w:sz w:val="24"/>
        <w:szCs w:val="24"/>
        <w:shd w:val="clear" w:color="auto" w:fill="FFFFFF"/>
      </w:rPr>
      <w:t>INTRODUCTORY STATISTICS</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B50659">
      <w:rPr>
        <w:rFonts w:ascii="Times New Roman" w:hAnsi="Times New Roman" w:cs="Times New Roman"/>
        <w:color w:val="1B1B1B"/>
        <w:sz w:val="24"/>
        <w:szCs w:val="24"/>
        <w:shd w:val="clear" w:color="auto" w:fill="FFFFFF"/>
      </w:rPr>
      <w:fldChar w:fldCharType="begin"/>
    </w:r>
    <w:r w:rsidRPr="00B50659">
      <w:rPr>
        <w:rFonts w:ascii="Times New Roman" w:hAnsi="Times New Roman" w:cs="Times New Roman"/>
        <w:color w:val="1B1B1B"/>
        <w:sz w:val="24"/>
        <w:szCs w:val="24"/>
        <w:shd w:val="clear" w:color="auto" w:fill="FFFFFF"/>
      </w:rPr>
      <w:instrText xml:space="preserve"> PAGE   \* MERGEFORMAT </w:instrText>
    </w:r>
    <w:r w:rsidRPr="00B50659">
      <w:rPr>
        <w:rFonts w:ascii="Times New Roman" w:hAnsi="Times New Roman" w:cs="Times New Roman"/>
        <w:color w:val="1B1B1B"/>
        <w:sz w:val="24"/>
        <w:szCs w:val="24"/>
        <w:shd w:val="clear" w:color="auto" w:fill="FFFFFF"/>
      </w:rPr>
      <w:fldChar w:fldCharType="separate"/>
    </w:r>
    <w:r w:rsidR="00561DCB">
      <w:rPr>
        <w:rFonts w:ascii="Times New Roman" w:hAnsi="Times New Roman" w:cs="Times New Roman"/>
        <w:noProof/>
        <w:color w:val="1B1B1B"/>
        <w:sz w:val="24"/>
        <w:szCs w:val="24"/>
        <w:shd w:val="clear" w:color="auto" w:fill="FFFFFF"/>
      </w:rPr>
      <w:t>2</w:t>
    </w:r>
    <w:r w:rsidRPr="00B50659">
      <w:rPr>
        <w:rFonts w:ascii="Times New Roman" w:hAnsi="Times New Roman" w:cs="Times New Roman"/>
        <w:noProof/>
        <w:color w:val="1B1B1B"/>
        <w:sz w:val="24"/>
        <w:szCs w:val="24"/>
        <w:shd w:val="clear" w:color="auto" w:fill="FFFFF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3751F" w14:textId="31B56EDD" w:rsidR="00B50659" w:rsidRPr="00B50659" w:rsidRDefault="00B50659" w:rsidP="00B50659">
    <w:pPr>
      <w:spacing w:after="0" w:line="480" w:lineRule="auto"/>
      <w:rPr>
        <w:rFonts w:ascii="Times New Roman" w:hAnsi="Times New Roman" w:cs="Times New Roman"/>
        <w:color w:val="1B1B1B"/>
        <w:sz w:val="24"/>
        <w:szCs w:val="24"/>
        <w:shd w:val="clear" w:color="auto" w:fill="FFFFFF"/>
      </w:rPr>
    </w:pPr>
    <w:r w:rsidRPr="00B50659">
      <w:rPr>
        <w:rFonts w:ascii="Times New Roman" w:hAnsi="Times New Roman" w:cs="Times New Roman"/>
        <w:sz w:val="24"/>
        <w:szCs w:val="24"/>
      </w:rPr>
      <w:t>Running head</w:t>
    </w:r>
    <w:r>
      <w:rPr>
        <w:rFonts w:ascii="Times New Roman" w:hAnsi="Times New Roman" w:cs="Times New Roman"/>
        <w:sz w:val="24"/>
        <w:szCs w:val="24"/>
      </w:rPr>
      <w:t>:</w:t>
    </w:r>
    <w:r w:rsidRPr="00B50659">
      <w:rPr>
        <w:rFonts w:ascii="Times New Roman" w:hAnsi="Times New Roman" w:cs="Times New Roman"/>
        <w:sz w:val="24"/>
        <w:szCs w:val="24"/>
      </w:rPr>
      <w:t xml:space="preserve"> </w:t>
    </w:r>
    <w:r w:rsidRPr="00B50659">
      <w:rPr>
        <w:rFonts w:ascii="Times New Roman" w:hAnsi="Times New Roman" w:cs="Times New Roman"/>
        <w:color w:val="1B1B1B"/>
        <w:sz w:val="24"/>
        <w:szCs w:val="24"/>
        <w:shd w:val="clear" w:color="auto" w:fill="FFFFFF"/>
      </w:rPr>
      <w:t>INTRODUCTORY STATISTICS</w:t>
    </w:r>
    <w:r w:rsidRPr="00B50659">
      <w:rPr>
        <w:rFonts w:ascii="Times New Roman" w:hAnsi="Times New Roman" w:cs="Times New Roman"/>
        <w:color w:val="1B1B1B"/>
        <w:sz w:val="24"/>
        <w:szCs w:val="24"/>
        <w:shd w:val="clear" w:color="auto" w:fill="FFFFFF"/>
      </w:rPr>
      <w:tab/>
    </w:r>
    <w:r w:rsidRPr="00B50659">
      <w:rPr>
        <w:rFonts w:ascii="Times New Roman" w:hAnsi="Times New Roman" w:cs="Times New Roman"/>
        <w:color w:val="1B1B1B"/>
        <w:sz w:val="24"/>
        <w:szCs w:val="24"/>
        <w:shd w:val="clear" w:color="auto" w:fill="FFFFFF"/>
      </w:rPr>
      <w:tab/>
    </w:r>
    <w:r w:rsidRPr="00B50659">
      <w:rPr>
        <w:rFonts w:ascii="Times New Roman" w:hAnsi="Times New Roman" w:cs="Times New Roman"/>
        <w:color w:val="1B1B1B"/>
        <w:sz w:val="24"/>
        <w:szCs w:val="24"/>
        <w:shd w:val="clear" w:color="auto" w:fill="FFFFFF"/>
      </w:rPr>
      <w:tab/>
    </w:r>
    <w:r w:rsidRPr="00B50659">
      <w:rPr>
        <w:rFonts w:ascii="Times New Roman" w:hAnsi="Times New Roman" w:cs="Times New Roman"/>
        <w:color w:val="1B1B1B"/>
        <w:sz w:val="24"/>
        <w:szCs w:val="24"/>
        <w:shd w:val="clear" w:color="auto" w:fill="FFFFFF"/>
      </w:rPr>
      <w:tab/>
    </w:r>
    <w:r w:rsidRPr="00B50659">
      <w:rPr>
        <w:rFonts w:ascii="Times New Roman" w:hAnsi="Times New Roman" w:cs="Times New Roman"/>
        <w:color w:val="1B1B1B"/>
        <w:sz w:val="24"/>
        <w:szCs w:val="24"/>
        <w:shd w:val="clear" w:color="auto" w:fill="FFFFFF"/>
      </w:rPr>
      <w:tab/>
    </w:r>
    <w:r w:rsidRPr="00B50659">
      <w:rPr>
        <w:rFonts w:ascii="Times New Roman" w:hAnsi="Times New Roman" w:cs="Times New Roman"/>
        <w:color w:val="1B1B1B"/>
        <w:sz w:val="24"/>
        <w:szCs w:val="24"/>
        <w:shd w:val="clear" w:color="auto" w:fill="FFFFFF"/>
      </w:rPr>
      <w:tab/>
    </w:r>
    <w:r w:rsidRPr="00B50659">
      <w:rPr>
        <w:rFonts w:ascii="Times New Roman" w:hAnsi="Times New Roman" w:cs="Times New Roman"/>
        <w:color w:val="1B1B1B"/>
        <w:sz w:val="24"/>
        <w:szCs w:val="24"/>
        <w:shd w:val="clear" w:color="auto" w:fill="FFFFFF"/>
      </w:rPr>
      <w:fldChar w:fldCharType="begin"/>
    </w:r>
    <w:r w:rsidRPr="00B50659">
      <w:rPr>
        <w:rFonts w:ascii="Times New Roman" w:hAnsi="Times New Roman" w:cs="Times New Roman"/>
        <w:color w:val="1B1B1B"/>
        <w:sz w:val="24"/>
        <w:szCs w:val="24"/>
        <w:shd w:val="clear" w:color="auto" w:fill="FFFFFF"/>
      </w:rPr>
      <w:instrText xml:space="preserve"> PAGE   \* MERGEFORMAT </w:instrText>
    </w:r>
    <w:r w:rsidRPr="00B50659">
      <w:rPr>
        <w:rFonts w:ascii="Times New Roman" w:hAnsi="Times New Roman" w:cs="Times New Roman"/>
        <w:color w:val="1B1B1B"/>
        <w:sz w:val="24"/>
        <w:szCs w:val="24"/>
        <w:shd w:val="clear" w:color="auto" w:fill="FFFFFF"/>
      </w:rPr>
      <w:fldChar w:fldCharType="separate"/>
    </w:r>
    <w:r w:rsidR="00255C59">
      <w:rPr>
        <w:rFonts w:ascii="Times New Roman" w:hAnsi="Times New Roman" w:cs="Times New Roman"/>
        <w:noProof/>
        <w:color w:val="1B1B1B"/>
        <w:sz w:val="24"/>
        <w:szCs w:val="24"/>
        <w:shd w:val="clear" w:color="auto" w:fill="FFFFFF"/>
      </w:rPr>
      <w:t>1</w:t>
    </w:r>
    <w:r w:rsidRPr="00B50659">
      <w:rPr>
        <w:rFonts w:ascii="Times New Roman" w:hAnsi="Times New Roman" w:cs="Times New Roman"/>
        <w:noProof/>
        <w:color w:val="1B1B1B"/>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C0C"/>
    <w:rsid w:val="000219DB"/>
    <w:rsid w:val="002063E5"/>
    <w:rsid w:val="00255C59"/>
    <w:rsid w:val="00561DCB"/>
    <w:rsid w:val="00636F37"/>
    <w:rsid w:val="00730C12"/>
    <w:rsid w:val="007526A7"/>
    <w:rsid w:val="0076171D"/>
    <w:rsid w:val="008420FC"/>
    <w:rsid w:val="00935778"/>
    <w:rsid w:val="00B50659"/>
    <w:rsid w:val="00C726B8"/>
    <w:rsid w:val="00C81C0C"/>
    <w:rsid w:val="00CF1E03"/>
    <w:rsid w:val="00E92A93"/>
    <w:rsid w:val="00ED1C3F"/>
    <w:rsid w:val="00F20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CF7E2"/>
  <w15:chartTrackingRefBased/>
  <w15:docId w15:val="{6F530209-3F74-4B62-ABF1-BA4AC4685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659"/>
  </w:style>
  <w:style w:type="paragraph" w:styleId="Footer">
    <w:name w:val="footer"/>
    <w:basedOn w:val="Normal"/>
    <w:link w:val="FooterChar"/>
    <w:uiPriority w:val="99"/>
    <w:unhideWhenUsed/>
    <w:rsid w:val="00B50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232076">
      <w:bodyDiv w:val="1"/>
      <w:marLeft w:val="0"/>
      <w:marRight w:val="0"/>
      <w:marTop w:val="0"/>
      <w:marBottom w:val="0"/>
      <w:divBdr>
        <w:top w:val="none" w:sz="0" w:space="0" w:color="auto"/>
        <w:left w:val="none" w:sz="0" w:space="0" w:color="auto"/>
        <w:bottom w:val="none" w:sz="0" w:space="0" w:color="auto"/>
        <w:right w:val="none" w:sz="0" w:space="0" w:color="auto"/>
      </w:divBdr>
    </w:div>
    <w:div w:id="836043695">
      <w:bodyDiv w:val="1"/>
      <w:marLeft w:val="0"/>
      <w:marRight w:val="0"/>
      <w:marTop w:val="0"/>
      <w:marBottom w:val="0"/>
      <w:divBdr>
        <w:top w:val="none" w:sz="0" w:space="0" w:color="auto"/>
        <w:left w:val="none" w:sz="0" w:space="0" w:color="auto"/>
        <w:bottom w:val="none" w:sz="0" w:space="0" w:color="auto"/>
        <w:right w:val="none" w:sz="0" w:space="0" w:color="auto"/>
      </w:divBdr>
    </w:div>
    <w:div w:id="1269432989">
      <w:bodyDiv w:val="1"/>
      <w:marLeft w:val="0"/>
      <w:marRight w:val="0"/>
      <w:marTop w:val="0"/>
      <w:marBottom w:val="0"/>
      <w:divBdr>
        <w:top w:val="none" w:sz="0" w:space="0" w:color="auto"/>
        <w:left w:val="none" w:sz="0" w:space="0" w:color="auto"/>
        <w:bottom w:val="none" w:sz="0" w:space="0" w:color="auto"/>
        <w:right w:val="none" w:sz="0" w:space="0" w:color="auto"/>
      </w:divBdr>
    </w:div>
    <w:div w:id="1573810136">
      <w:bodyDiv w:val="1"/>
      <w:marLeft w:val="0"/>
      <w:marRight w:val="0"/>
      <w:marTop w:val="0"/>
      <w:marBottom w:val="0"/>
      <w:divBdr>
        <w:top w:val="none" w:sz="0" w:space="0" w:color="auto"/>
        <w:left w:val="none" w:sz="0" w:space="0" w:color="auto"/>
        <w:bottom w:val="none" w:sz="0" w:space="0" w:color="auto"/>
        <w:right w:val="none" w:sz="0" w:space="0" w:color="auto"/>
      </w:divBdr>
    </w:div>
    <w:div w:id="196611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oby1\Documents\Studypool\Gest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nSpc>
                <a:spcPct val="200000"/>
              </a:lnSpc>
              <a:defRPr sz="1400" b="0" i="0" u="none" strike="noStrike" kern="1200" spc="0" baseline="0">
                <a:solidFill>
                  <a:schemeClr val="tx1">
                    <a:lumMod val="65000"/>
                    <a:lumOff val="35000"/>
                  </a:schemeClr>
                </a:solidFill>
                <a:latin typeface="+mn-lt"/>
                <a:ea typeface="+mn-ea"/>
                <a:cs typeface="+mn-cs"/>
              </a:defRPr>
            </a:pPr>
            <a:r>
              <a:rPr lang="en-GB" sz="1200" b="0" i="0" baseline="0">
                <a:effectLst/>
                <a:latin typeface="Times New Roman" panose="02020603050405020304" pitchFamily="18" charset="0"/>
                <a:ea typeface="Tahoma" panose="020B0604030504040204" pitchFamily="34" charset="0"/>
                <a:cs typeface="Times New Roman" panose="02020603050405020304" pitchFamily="18" charset="0"/>
              </a:rPr>
              <a:t>A Histogram showing the distribution of women's ages after the birth of their first child</a:t>
            </a:r>
            <a:endParaRPr lang="en-GB" sz="1050">
              <a:effectLst/>
              <a:latin typeface="Times New Roman" panose="02020603050405020304" pitchFamily="18" charset="0"/>
              <a:ea typeface="Tahoma" panose="020B0604030504040204" pitchFamily="34"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lnSpc>
              <a:spcPct val="200000"/>
            </a:lnSpc>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1138926684001482E-2"/>
          <c:y val="0.19130659767141009"/>
          <c:w val="0.89797666768132789"/>
          <c:h val="0.6886506198368153"/>
        </c:manualLayout>
      </c:layout>
      <c:barChart>
        <c:barDir val="col"/>
        <c:grouping val="clustered"/>
        <c:varyColors val="0"/>
        <c:ser>
          <c:idx val="0"/>
          <c:order val="0"/>
          <c:tx>
            <c:strRef>
              <c:f>[Gestation.xlsx]Sheet1!$M$4</c:f>
              <c:strCache>
                <c:ptCount val="1"/>
                <c:pt idx="0">
                  <c:v>2.67</c:v>
                </c:pt>
              </c:strCache>
            </c:strRef>
          </c:tx>
          <c:spPr>
            <a:solidFill>
              <a:schemeClr val="accent1"/>
            </a:solidFill>
            <a:ln>
              <a:noFill/>
            </a:ln>
            <a:effectLst/>
          </c:spPr>
          <c:invertIfNegative val="0"/>
          <c:dPt>
            <c:idx val="2"/>
            <c:invertIfNegative val="0"/>
            <c:bubble3D val="0"/>
            <c:spPr>
              <a:solidFill>
                <a:schemeClr val="accent2"/>
              </a:solidFill>
              <a:ln>
                <a:noFill/>
              </a:ln>
              <a:effectLst/>
            </c:spPr>
            <c:extLst>
              <c:ext xmlns:c16="http://schemas.microsoft.com/office/drawing/2014/chart" uri="{C3380CC4-5D6E-409C-BE32-E72D297353CC}">
                <c16:uniqueId val="{00000001-342C-42C9-BB68-DBB1568A4AFD}"/>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3-342C-42C9-BB68-DBB1568A4AFD}"/>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5-342C-42C9-BB68-DBB1568A4AFD}"/>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7-342C-42C9-BB68-DBB1568A4AFD}"/>
              </c:ext>
            </c:extLst>
          </c:dPt>
          <c:dPt>
            <c:idx val="11"/>
            <c:invertIfNegative val="0"/>
            <c:bubble3D val="0"/>
            <c:spPr>
              <a:solidFill>
                <a:schemeClr val="accent2"/>
              </a:solidFill>
              <a:ln>
                <a:noFill/>
              </a:ln>
              <a:effectLst/>
            </c:spPr>
            <c:extLst>
              <c:ext xmlns:c16="http://schemas.microsoft.com/office/drawing/2014/chart" uri="{C3380CC4-5D6E-409C-BE32-E72D297353CC}">
                <c16:uniqueId val="{00000009-342C-42C9-BB68-DBB1568A4AFD}"/>
              </c:ext>
            </c:extLst>
          </c:dPt>
          <c:dPt>
            <c:idx val="12"/>
            <c:invertIfNegative val="0"/>
            <c:bubble3D val="0"/>
            <c:spPr>
              <a:solidFill>
                <a:schemeClr val="accent2"/>
              </a:solidFill>
              <a:ln>
                <a:noFill/>
              </a:ln>
              <a:effectLst/>
            </c:spPr>
            <c:extLst>
              <c:ext xmlns:c16="http://schemas.microsoft.com/office/drawing/2014/chart" uri="{C3380CC4-5D6E-409C-BE32-E72D297353CC}">
                <c16:uniqueId val="{0000000B-342C-42C9-BB68-DBB1568A4AFD}"/>
              </c:ext>
            </c:extLst>
          </c:dPt>
          <c:dPt>
            <c:idx val="13"/>
            <c:invertIfNegative val="0"/>
            <c:bubble3D val="0"/>
            <c:spPr>
              <a:solidFill>
                <a:schemeClr val="accent2"/>
              </a:solidFill>
              <a:ln>
                <a:noFill/>
              </a:ln>
              <a:effectLst/>
            </c:spPr>
            <c:extLst>
              <c:ext xmlns:c16="http://schemas.microsoft.com/office/drawing/2014/chart" uri="{C3380CC4-5D6E-409C-BE32-E72D297353CC}">
                <c16:uniqueId val="{0000000D-342C-42C9-BB68-DBB1568A4AFD}"/>
              </c:ext>
            </c:extLst>
          </c:dPt>
          <c:dPt>
            <c:idx val="14"/>
            <c:invertIfNegative val="0"/>
            <c:bubble3D val="0"/>
            <c:spPr>
              <a:solidFill>
                <a:schemeClr val="accent2"/>
              </a:solidFill>
              <a:ln>
                <a:noFill/>
              </a:ln>
              <a:effectLst/>
            </c:spPr>
            <c:extLst>
              <c:ext xmlns:c16="http://schemas.microsoft.com/office/drawing/2014/chart" uri="{C3380CC4-5D6E-409C-BE32-E72D297353CC}">
                <c16:uniqueId val="{0000000F-342C-42C9-BB68-DBB1568A4AFD}"/>
              </c:ext>
            </c:extLst>
          </c:dPt>
          <c:dPt>
            <c:idx val="15"/>
            <c:invertIfNegative val="0"/>
            <c:bubble3D val="0"/>
            <c:spPr>
              <a:solidFill>
                <a:schemeClr val="accent2"/>
              </a:solidFill>
              <a:ln>
                <a:noFill/>
              </a:ln>
              <a:effectLst/>
            </c:spPr>
            <c:extLst>
              <c:ext xmlns:c16="http://schemas.microsoft.com/office/drawing/2014/chart" uri="{C3380CC4-5D6E-409C-BE32-E72D297353CC}">
                <c16:uniqueId val="{00000011-342C-42C9-BB68-DBB1568A4AFD}"/>
              </c:ext>
            </c:extLst>
          </c:dPt>
          <c:dPt>
            <c:idx val="16"/>
            <c:invertIfNegative val="0"/>
            <c:bubble3D val="0"/>
            <c:spPr>
              <a:solidFill>
                <a:schemeClr val="accent2"/>
              </a:solidFill>
              <a:ln>
                <a:noFill/>
              </a:ln>
              <a:effectLst/>
            </c:spPr>
            <c:extLst>
              <c:ext xmlns:c16="http://schemas.microsoft.com/office/drawing/2014/chart" uri="{C3380CC4-5D6E-409C-BE32-E72D297353CC}">
                <c16:uniqueId val="{00000013-342C-42C9-BB68-DBB1568A4AFD}"/>
              </c:ext>
            </c:extLst>
          </c:dPt>
          <c:dPt>
            <c:idx val="17"/>
            <c:invertIfNegative val="0"/>
            <c:bubble3D val="0"/>
            <c:spPr>
              <a:solidFill>
                <a:schemeClr val="accent2"/>
              </a:solidFill>
              <a:ln>
                <a:noFill/>
              </a:ln>
              <a:effectLst/>
            </c:spPr>
            <c:extLst>
              <c:ext xmlns:c16="http://schemas.microsoft.com/office/drawing/2014/chart" uri="{C3380CC4-5D6E-409C-BE32-E72D297353CC}">
                <c16:uniqueId val="{00000015-342C-42C9-BB68-DBB1568A4AFD}"/>
              </c:ext>
            </c:extLst>
          </c:dPt>
          <c:dPt>
            <c:idx val="24"/>
            <c:invertIfNegative val="0"/>
            <c:bubble3D val="0"/>
            <c:spPr>
              <a:solidFill>
                <a:schemeClr val="accent2"/>
              </a:solidFill>
              <a:ln>
                <a:noFill/>
              </a:ln>
              <a:effectLst/>
            </c:spPr>
            <c:extLst>
              <c:ext xmlns:c16="http://schemas.microsoft.com/office/drawing/2014/chart" uri="{C3380CC4-5D6E-409C-BE32-E72D297353CC}">
                <c16:uniqueId val="{00000017-342C-42C9-BB68-DBB1568A4AFD}"/>
              </c:ext>
            </c:extLst>
          </c:dPt>
          <c:dPt>
            <c:idx val="25"/>
            <c:invertIfNegative val="0"/>
            <c:bubble3D val="0"/>
            <c:spPr>
              <a:solidFill>
                <a:schemeClr val="accent2"/>
              </a:solidFill>
              <a:ln>
                <a:noFill/>
              </a:ln>
              <a:effectLst/>
            </c:spPr>
            <c:extLst>
              <c:ext xmlns:c16="http://schemas.microsoft.com/office/drawing/2014/chart" uri="{C3380CC4-5D6E-409C-BE32-E72D297353CC}">
                <c16:uniqueId val="{00000019-342C-42C9-BB68-DBB1568A4AFD}"/>
              </c:ext>
            </c:extLst>
          </c:dPt>
          <c:dPt>
            <c:idx val="26"/>
            <c:invertIfNegative val="0"/>
            <c:bubble3D val="0"/>
            <c:spPr>
              <a:solidFill>
                <a:schemeClr val="accent2"/>
              </a:solidFill>
              <a:ln>
                <a:noFill/>
              </a:ln>
              <a:effectLst/>
            </c:spPr>
            <c:extLst>
              <c:ext xmlns:c16="http://schemas.microsoft.com/office/drawing/2014/chart" uri="{C3380CC4-5D6E-409C-BE32-E72D297353CC}">
                <c16:uniqueId val="{0000001B-342C-42C9-BB68-DBB1568A4AFD}"/>
              </c:ext>
            </c:extLst>
          </c:dPt>
          <c:dPt>
            <c:idx val="27"/>
            <c:invertIfNegative val="0"/>
            <c:bubble3D val="0"/>
            <c:spPr>
              <a:solidFill>
                <a:schemeClr val="accent2"/>
              </a:solidFill>
              <a:ln>
                <a:noFill/>
              </a:ln>
              <a:effectLst/>
            </c:spPr>
            <c:extLst>
              <c:ext xmlns:c16="http://schemas.microsoft.com/office/drawing/2014/chart" uri="{C3380CC4-5D6E-409C-BE32-E72D297353CC}">
                <c16:uniqueId val="{0000001D-342C-42C9-BB68-DBB1568A4AFD}"/>
              </c:ext>
            </c:extLst>
          </c:dPt>
          <c:cat>
            <c:strRef>
              <c:f>[Gestation.xlsx]Sheet1!$L$5:$L$32</c:f>
              <c:strCache>
                <c:ptCount val="26"/>
                <c:pt idx="0">
                  <c:v>15≤x&lt;18</c:v>
                </c:pt>
                <c:pt idx="4">
                  <c:v>18≤x&lt;22</c:v>
                </c:pt>
                <c:pt idx="8">
                  <c:v>22≤x&lt;27</c:v>
                </c:pt>
                <c:pt idx="14">
                  <c:v>27≤x&lt;35</c:v>
                </c:pt>
                <c:pt idx="20">
                  <c:v>35≤x&lt;42</c:v>
                </c:pt>
                <c:pt idx="25">
                  <c:v>42≤x≤45</c:v>
                </c:pt>
              </c:strCache>
            </c:strRef>
          </c:cat>
          <c:val>
            <c:numRef>
              <c:f>[Gestation.xlsx]Sheet1!$M$5:$M$32</c:f>
              <c:numCache>
                <c:formatCode>0.00</c:formatCode>
                <c:ptCount val="28"/>
                <c:pt idx="0">
                  <c:v>2.6666666666666665</c:v>
                </c:pt>
                <c:pt idx="1">
                  <c:v>2.6666666666666665</c:v>
                </c:pt>
                <c:pt idx="2">
                  <c:v>47</c:v>
                </c:pt>
                <c:pt idx="3">
                  <c:v>47</c:v>
                </c:pt>
                <c:pt idx="4">
                  <c:v>47</c:v>
                </c:pt>
                <c:pt idx="5">
                  <c:v>47</c:v>
                </c:pt>
                <c:pt idx="6">
                  <c:v>82.6</c:v>
                </c:pt>
                <c:pt idx="7">
                  <c:v>82.6</c:v>
                </c:pt>
                <c:pt idx="8">
                  <c:v>82.6</c:v>
                </c:pt>
                <c:pt idx="9">
                  <c:v>82.6</c:v>
                </c:pt>
                <c:pt idx="10">
                  <c:v>82.6</c:v>
                </c:pt>
                <c:pt idx="11">
                  <c:v>60.428571428571431</c:v>
                </c:pt>
                <c:pt idx="12">
                  <c:v>60.428571428571431</c:v>
                </c:pt>
                <c:pt idx="13">
                  <c:v>60.428571428571431</c:v>
                </c:pt>
                <c:pt idx="14">
                  <c:v>60.428571428571431</c:v>
                </c:pt>
                <c:pt idx="15">
                  <c:v>60.428571428571431</c:v>
                </c:pt>
                <c:pt idx="16">
                  <c:v>60.428571428571431</c:v>
                </c:pt>
                <c:pt idx="17">
                  <c:v>60.428571428571431</c:v>
                </c:pt>
                <c:pt idx="18">
                  <c:v>24.333333333333332</c:v>
                </c:pt>
                <c:pt idx="19">
                  <c:v>24.333333333333332</c:v>
                </c:pt>
                <c:pt idx="20">
                  <c:v>24.333333333333332</c:v>
                </c:pt>
                <c:pt idx="21">
                  <c:v>24.333333333333332</c:v>
                </c:pt>
                <c:pt idx="22">
                  <c:v>24.333333333333332</c:v>
                </c:pt>
                <c:pt idx="23">
                  <c:v>24.333333333333332</c:v>
                </c:pt>
                <c:pt idx="24">
                  <c:v>3</c:v>
                </c:pt>
                <c:pt idx="25">
                  <c:v>3</c:v>
                </c:pt>
                <c:pt idx="26">
                  <c:v>3</c:v>
                </c:pt>
                <c:pt idx="27">
                  <c:v>3</c:v>
                </c:pt>
              </c:numCache>
            </c:numRef>
          </c:val>
          <c:extLst>
            <c:ext xmlns:c16="http://schemas.microsoft.com/office/drawing/2014/chart" uri="{C3380CC4-5D6E-409C-BE32-E72D297353CC}">
              <c16:uniqueId val="{0000001E-342C-42C9-BB68-DBB1568A4AFD}"/>
            </c:ext>
          </c:extLst>
        </c:ser>
        <c:dLbls>
          <c:showLegendKey val="0"/>
          <c:showVal val="0"/>
          <c:showCatName val="0"/>
          <c:showSerName val="0"/>
          <c:showPercent val="0"/>
          <c:showBubbleSize val="0"/>
        </c:dLbls>
        <c:gapWidth val="0"/>
        <c:overlap val="-27"/>
        <c:axId val="645561552"/>
        <c:axId val="645559632"/>
      </c:barChart>
      <c:catAx>
        <c:axId val="64556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5559632"/>
        <c:crosses val="autoZero"/>
        <c:auto val="1"/>
        <c:lblAlgn val="ctr"/>
        <c:lblOffset val="100"/>
        <c:noMultiLvlLbl val="0"/>
      </c:catAx>
      <c:valAx>
        <c:axId val="645559632"/>
        <c:scaling>
          <c:orientation val="minMax"/>
        </c:scaling>
        <c:delete val="1"/>
        <c:axPos val="l"/>
        <c:numFmt formatCode="0.00" sourceLinked="1"/>
        <c:majorTickMark val="none"/>
        <c:minorTickMark val="none"/>
        <c:tickLblPos val="nextTo"/>
        <c:crossAx val="6455615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morcom t. (tm8g20)</dc:creator>
  <cp:keywords/>
  <dc:description/>
  <cp:lastModifiedBy>Windows User</cp:lastModifiedBy>
  <cp:revision>2</cp:revision>
  <dcterms:created xsi:type="dcterms:W3CDTF">2020-09-26T17:40:00Z</dcterms:created>
  <dcterms:modified xsi:type="dcterms:W3CDTF">2020-09-26T17:40:00Z</dcterms:modified>
</cp:coreProperties>
</file>