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2116ED" w:rsidRDefault="002116ED" w:rsidP="009E069E">
      <w:pPr>
        <w:rPr>
          <w:b/>
        </w:rPr>
      </w:pPr>
    </w:p>
    <w:p w:rsidR="002116ED" w:rsidRDefault="002116ED" w:rsidP="009E069E">
      <w:pPr>
        <w:rPr>
          <w:b/>
        </w:rPr>
      </w:pPr>
    </w:p>
    <w:p w:rsidR="009E069E" w:rsidRDefault="009E069E" w:rsidP="009E069E">
      <w:pPr>
        <w:rPr>
          <w:b/>
        </w:rPr>
      </w:pPr>
    </w:p>
    <w:p w:rsidR="009E069E" w:rsidRDefault="000C7DE9" w:rsidP="009E069E">
      <w:pPr>
        <w:spacing w:line="480" w:lineRule="auto"/>
        <w:jc w:val="center"/>
        <w:rPr>
          <w:color w:val="000000" w:themeColor="text1"/>
        </w:rPr>
      </w:pPr>
      <w:r>
        <w:rPr>
          <w:color w:val="000000" w:themeColor="text1"/>
        </w:rPr>
        <w:t>Questions</w:t>
      </w:r>
    </w:p>
    <w:p w:rsidR="009E069E" w:rsidRDefault="000C7DE9" w:rsidP="009E069E">
      <w:pPr>
        <w:spacing w:line="480" w:lineRule="auto"/>
        <w:jc w:val="center"/>
        <w:rPr>
          <w:color w:val="000000" w:themeColor="text1"/>
        </w:rPr>
      </w:pPr>
      <w:r>
        <w:rPr>
          <w:color w:val="000000" w:themeColor="text1"/>
        </w:rPr>
        <w:t>Student Name</w:t>
      </w:r>
    </w:p>
    <w:p w:rsidR="009E069E" w:rsidRDefault="000C7DE9" w:rsidP="009E069E">
      <w:pPr>
        <w:spacing w:line="480" w:lineRule="auto"/>
        <w:jc w:val="center"/>
        <w:rPr>
          <w:color w:val="000000" w:themeColor="text1"/>
        </w:rPr>
      </w:pPr>
      <w:r>
        <w:rPr>
          <w:color w:val="000000" w:themeColor="text1"/>
        </w:rPr>
        <w:t>Institution Affiliation</w:t>
      </w:r>
    </w:p>
    <w:p w:rsidR="009E069E" w:rsidRDefault="000C7DE9" w:rsidP="009E069E">
      <w:pPr>
        <w:spacing w:line="480" w:lineRule="auto"/>
        <w:jc w:val="center"/>
        <w:rPr>
          <w:color w:val="000000" w:themeColor="text1"/>
        </w:rPr>
      </w:pPr>
      <w:r>
        <w:rPr>
          <w:color w:val="000000" w:themeColor="text1"/>
        </w:rPr>
        <w:t>Date</w:t>
      </w:r>
    </w:p>
    <w:p w:rsidR="009E069E" w:rsidRDefault="009E069E" w:rsidP="009E069E">
      <w:pPr>
        <w:jc w:val="cente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9E069E" w:rsidRDefault="009E069E" w:rsidP="009E069E">
      <w:pPr>
        <w:rPr>
          <w:b/>
        </w:rPr>
      </w:pPr>
    </w:p>
    <w:p w:rsidR="00853580" w:rsidRPr="0058029B" w:rsidRDefault="000C7DE9" w:rsidP="009E069E">
      <w:pPr>
        <w:ind w:firstLine="360"/>
        <w:jc w:val="center"/>
        <w:rPr>
          <w:bCs/>
        </w:rPr>
      </w:pPr>
      <w:r w:rsidRPr="0058029B">
        <w:rPr>
          <w:bCs/>
        </w:rPr>
        <w:t>Questions</w:t>
      </w:r>
    </w:p>
    <w:p w:rsidR="009E069E" w:rsidRPr="0058029B" w:rsidRDefault="009E069E" w:rsidP="009E069E">
      <w:pPr>
        <w:ind w:firstLine="360"/>
        <w:jc w:val="center"/>
        <w:rPr>
          <w:bCs/>
        </w:rPr>
      </w:pPr>
    </w:p>
    <w:p w:rsidR="00AA6946" w:rsidRPr="006A3F99" w:rsidRDefault="006A3F99" w:rsidP="006A3F99">
      <w:pPr>
        <w:spacing w:line="480" w:lineRule="auto"/>
        <w:jc w:val="center"/>
        <w:rPr>
          <w:b/>
          <w:bCs/>
          <w:color w:val="000000" w:themeColor="text1"/>
        </w:rPr>
      </w:pPr>
      <w:r>
        <w:rPr>
          <w:b/>
          <w:bCs/>
          <w:color w:val="000000" w:themeColor="text1"/>
        </w:rPr>
        <w:t>Question 1</w:t>
      </w:r>
    </w:p>
    <w:p w:rsidR="00AA6946" w:rsidRPr="0058029B" w:rsidRDefault="000C7DE9" w:rsidP="009E069E">
      <w:pPr>
        <w:spacing w:line="480" w:lineRule="auto"/>
        <w:ind w:firstLine="851"/>
        <w:rPr>
          <w:color w:val="000000" w:themeColor="text1"/>
        </w:rPr>
      </w:pPr>
      <w:r w:rsidRPr="0058029B">
        <w:rPr>
          <w:color w:val="000000" w:themeColor="text1"/>
        </w:rPr>
        <w:t>The three categories of credit intermediation include the activities related, non-depository, and depository credit intermediation. Activities</w:t>
      </w:r>
      <w:r w:rsidR="003A53FA">
        <w:rPr>
          <w:color w:val="000000" w:themeColor="text1"/>
        </w:rPr>
        <w:t>-</w:t>
      </w:r>
      <w:r w:rsidRPr="0058029B">
        <w:rPr>
          <w:color w:val="000000" w:themeColor="text1"/>
        </w:rPr>
        <w:t xml:space="preserve">related credit </w:t>
      </w:r>
      <w:r w:rsidR="006A3F99" w:rsidRPr="0058029B">
        <w:rPr>
          <w:color w:val="000000" w:themeColor="text1"/>
        </w:rPr>
        <w:t>intermediation involves</w:t>
      </w:r>
      <w:r w:rsidRPr="0058029B">
        <w:rPr>
          <w:color w:val="000000" w:themeColor="text1"/>
        </w:rPr>
        <w:t xml:space="preserve"> credit card transactions, clearing of checks, and organizing loans. Non-depository credit intermediation involves establishments acknowledged for generating cash loans and granting credits to customers and organizations credit tools other than financial leases, agreements, sales finances, and credit cards</w:t>
      </w:r>
      <w:r w:rsidR="009E069E" w:rsidRPr="0058029B">
        <w:rPr>
          <w:color w:val="000000" w:themeColor="text1"/>
        </w:rPr>
        <w:t xml:space="preserve"> (Mishkin &amp; Serletis, 2011)</w:t>
      </w:r>
      <w:r w:rsidRPr="0058029B">
        <w:rPr>
          <w:color w:val="000000" w:themeColor="text1"/>
        </w:rPr>
        <w:t xml:space="preserve">. Depository credit intermediation involves the establishments that involve the acceptance of deposits and giving credits from the stakes. The three </w:t>
      </w:r>
      <w:r w:rsidR="0020555F" w:rsidRPr="0058029B">
        <w:rPr>
          <w:color w:val="000000" w:themeColor="text1"/>
        </w:rPr>
        <w:t>establishments</w:t>
      </w:r>
      <w:r w:rsidRPr="0058029B">
        <w:rPr>
          <w:color w:val="000000" w:themeColor="text1"/>
        </w:rPr>
        <w:t xml:space="preserve"> are engaged in lending funds from the </w:t>
      </w:r>
      <w:r w:rsidR="0020555F" w:rsidRPr="0058029B">
        <w:rPr>
          <w:color w:val="000000" w:themeColor="text1"/>
        </w:rPr>
        <w:t>depositors.</w:t>
      </w:r>
    </w:p>
    <w:p w:rsidR="0020555F" w:rsidRPr="006A3F99" w:rsidRDefault="006A3F99" w:rsidP="006A3F99">
      <w:pPr>
        <w:spacing w:line="480" w:lineRule="auto"/>
        <w:jc w:val="center"/>
        <w:rPr>
          <w:b/>
          <w:bCs/>
          <w:color w:val="000000" w:themeColor="text1"/>
        </w:rPr>
      </w:pPr>
      <w:r>
        <w:rPr>
          <w:b/>
          <w:bCs/>
          <w:color w:val="000000" w:themeColor="text1"/>
        </w:rPr>
        <w:t>Question 2</w:t>
      </w:r>
    </w:p>
    <w:p w:rsidR="0020555F" w:rsidRPr="0058029B" w:rsidRDefault="000C7DE9" w:rsidP="009E069E">
      <w:pPr>
        <w:spacing w:line="480" w:lineRule="auto"/>
        <w:ind w:firstLine="851"/>
        <w:rPr>
          <w:color w:val="000000" w:themeColor="text1"/>
        </w:rPr>
      </w:pPr>
      <w:r w:rsidRPr="0058029B">
        <w:rPr>
          <w:color w:val="000000" w:themeColor="text1"/>
        </w:rPr>
        <w:t>As financial intermediaries, banks are involved in providing insurance services. Organizations and individuals who have risky investments that need to be insured can approach banks to enhance their protection. Banks offer financial advice to investors</w:t>
      </w:r>
      <w:r w:rsidR="009E069E" w:rsidRPr="0058029B">
        <w:rPr>
          <w:color w:val="000000" w:themeColor="text1"/>
        </w:rPr>
        <w:t xml:space="preserve"> (</w:t>
      </w:r>
      <w:r w:rsidR="009E069E" w:rsidRPr="0058029B">
        <w:rPr>
          <w:color w:val="000000" w:themeColor="text1"/>
          <w:shd w:val="clear" w:color="auto" w:fill="FFFFFF"/>
        </w:rPr>
        <w:t>Rosenbaum &amp; Pearl, 2013)</w:t>
      </w:r>
      <w:r w:rsidRPr="0058029B">
        <w:rPr>
          <w:color w:val="000000" w:themeColor="text1"/>
        </w:rPr>
        <w:t>. The banks provide specialists who provide guidance, such as investments and financial management. Banks provide investment trusts where mutual investment plans are made. Small savings from the investors are enhanced to carry out significant investments.</w:t>
      </w:r>
    </w:p>
    <w:p w:rsidR="0020555F" w:rsidRPr="006A3F99" w:rsidRDefault="006A3F99" w:rsidP="006A3F99">
      <w:pPr>
        <w:spacing w:line="480" w:lineRule="auto"/>
        <w:jc w:val="center"/>
        <w:rPr>
          <w:b/>
          <w:bCs/>
          <w:color w:val="000000" w:themeColor="text1"/>
        </w:rPr>
      </w:pPr>
      <w:r>
        <w:rPr>
          <w:b/>
          <w:bCs/>
          <w:color w:val="000000" w:themeColor="text1"/>
        </w:rPr>
        <w:t>Question 3</w:t>
      </w:r>
    </w:p>
    <w:p w:rsidR="006A3F99" w:rsidRDefault="000C7DE9" w:rsidP="006A3F99">
      <w:pPr>
        <w:spacing w:line="480" w:lineRule="auto"/>
        <w:ind w:firstLine="851"/>
        <w:rPr>
          <w:b/>
          <w:bCs/>
          <w:color w:val="000000" w:themeColor="text1"/>
        </w:rPr>
      </w:pPr>
      <w:r w:rsidRPr="0058029B">
        <w:rPr>
          <w:color w:val="000000" w:themeColor="text1"/>
        </w:rPr>
        <w:t>Banks make money by using the funds deposited in the accounts to provide loans. The interest earned from the loans generate</w:t>
      </w:r>
      <w:r w:rsidR="006A3F99">
        <w:rPr>
          <w:color w:val="000000" w:themeColor="text1"/>
        </w:rPr>
        <w:t>s</w:t>
      </w:r>
      <w:r w:rsidRPr="0058029B">
        <w:rPr>
          <w:color w:val="000000" w:themeColor="text1"/>
        </w:rPr>
        <w:t xml:space="preserve"> income</w:t>
      </w:r>
      <w:r w:rsidR="009E069E" w:rsidRPr="0058029B">
        <w:rPr>
          <w:color w:val="000000" w:themeColor="text1"/>
        </w:rPr>
        <w:t xml:space="preserve"> (</w:t>
      </w:r>
      <w:r w:rsidR="009E069E" w:rsidRPr="0058029B">
        <w:rPr>
          <w:color w:val="000000" w:themeColor="text1"/>
          <w:shd w:val="clear" w:color="auto" w:fill="FFFFFF"/>
        </w:rPr>
        <w:t>Rosenbaum &amp; Pearl, 2013)</w:t>
      </w:r>
      <w:r w:rsidRPr="0058029B">
        <w:rPr>
          <w:color w:val="000000" w:themeColor="text1"/>
        </w:rPr>
        <w:t xml:space="preserve">. Also, fees that are made by depositors to the bank to maintain the accounts are a great source of revenue for the banks; also, expenses such as transaction charges from credit cards and ATM </w:t>
      </w:r>
      <w:r w:rsidR="00A1639B" w:rsidRPr="0058029B">
        <w:rPr>
          <w:color w:val="000000" w:themeColor="text1"/>
        </w:rPr>
        <w:t>generates revenues. The net interest margin is the discrepancy between interest revenue and the interest paid to lenders.</w:t>
      </w:r>
      <w:r w:rsidR="006A3F99" w:rsidRPr="006A3F99">
        <w:rPr>
          <w:b/>
          <w:bCs/>
          <w:color w:val="000000" w:themeColor="text1"/>
        </w:rPr>
        <w:t xml:space="preserve"> </w:t>
      </w:r>
    </w:p>
    <w:p w:rsidR="00853580" w:rsidRPr="006A3F99" w:rsidRDefault="006A3F99" w:rsidP="006A3F99">
      <w:pPr>
        <w:spacing w:line="480" w:lineRule="auto"/>
        <w:ind w:firstLine="851"/>
        <w:jc w:val="center"/>
        <w:rPr>
          <w:color w:val="000000" w:themeColor="text1"/>
        </w:rPr>
      </w:pPr>
      <w:r>
        <w:rPr>
          <w:b/>
          <w:bCs/>
          <w:color w:val="000000" w:themeColor="text1"/>
        </w:rPr>
        <w:t>Question 4</w:t>
      </w:r>
    </w:p>
    <w:p w:rsidR="00853580" w:rsidRDefault="000C7DE9" w:rsidP="006A3F99">
      <w:pPr>
        <w:spacing w:line="480" w:lineRule="auto"/>
        <w:ind w:firstLine="851"/>
        <w:rPr>
          <w:color w:val="000000" w:themeColor="text1"/>
        </w:rPr>
      </w:pPr>
      <w:r w:rsidRPr="0058029B">
        <w:rPr>
          <w:color w:val="000000" w:themeColor="text1"/>
        </w:rPr>
        <w:t xml:space="preserve">In 1930, the policymakers conducted an expansionary financial action to ensure that they meet the demand for liquidity. The banking panics were viewed as a result of illiquidity. </w:t>
      </w:r>
      <w:r w:rsidR="00113900" w:rsidRPr="0058029B">
        <w:rPr>
          <w:color w:val="000000" w:themeColor="text1"/>
        </w:rPr>
        <w:t>The policy was developed to switch from short term to l</w:t>
      </w:r>
      <w:r w:rsidR="009E069E" w:rsidRPr="0058029B">
        <w:rPr>
          <w:color w:val="000000" w:themeColor="text1"/>
        </w:rPr>
        <w:t>o</w:t>
      </w:r>
      <w:r w:rsidR="00113900" w:rsidRPr="0058029B">
        <w:rPr>
          <w:color w:val="000000" w:themeColor="text1"/>
        </w:rPr>
        <w:t>ng term credits and enhance longer payment durations</w:t>
      </w:r>
      <w:r w:rsidR="009E069E" w:rsidRPr="0058029B">
        <w:rPr>
          <w:color w:val="000000" w:themeColor="text1"/>
        </w:rPr>
        <w:t xml:space="preserve"> (Mishkin &amp; Serletis, 2011)</w:t>
      </w:r>
      <w:r w:rsidR="00113900" w:rsidRPr="0058029B">
        <w:rPr>
          <w:color w:val="000000" w:themeColor="text1"/>
        </w:rPr>
        <w:t xml:space="preserve">. </w:t>
      </w:r>
      <w:r w:rsidR="003A53FA">
        <w:rPr>
          <w:color w:val="000000" w:themeColor="text1"/>
        </w:rPr>
        <w:t>However,</w:t>
      </w:r>
      <w:r w:rsidR="006528CC">
        <w:rPr>
          <w:color w:val="000000" w:themeColor="text1"/>
        </w:rPr>
        <w:t xml:space="preserve"> the</w:t>
      </w:r>
      <w:r w:rsidR="00113900" w:rsidRPr="0058029B">
        <w:rPr>
          <w:color w:val="000000" w:themeColor="text1"/>
        </w:rPr>
        <w:t xml:space="preserve"> system did not eliminate the need for intervention from the government. The government had to prevent financial risks by preventing liquidity by increasing interest rates. The government was the only option that enhanced a complete solution to the problem.</w:t>
      </w:r>
    </w:p>
    <w:p w:rsidR="006A3F99" w:rsidRPr="006A3F99" w:rsidRDefault="006A3F99" w:rsidP="006A3F99">
      <w:pPr>
        <w:spacing w:line="480" w:lineRule="auto"/>
        <w:ind w:firstLine="851"/>
        <w:jc w:val="center"/>
        <w:rPr>
          <w:color w:val="000000" w:themeColor="text1"/>
        </w:rPr>
      </w:pPr>
      <w:r>
        <w:rPr>
          <w:b/>
          <w:bCs/>
          <w:color w:val="000000" w:themeColor="text1"/>
        </w:rPr>
        <w:t>Question 5</w:t>
      </w:r>
    </w:p>
    <w:p w:rsidR="00113900" w:rsidRPr="0058029B" w:rsidRDefault="000C7DE9" w:rsidP="009E069E">
      <w:pPr>
        <w:spacing w:line="480" w:lineRule="auto"/>
        <w:ind w:firstLine="851"/>
        <w:rPr>
          <w:color w:val="000000" w:themeColor="text1"/>
        </w:rPr>
      </w:pPr>
      <w:r w:rsidRPr="0058029B">
        <w:rPr>
          <w:color w:val="000000" w:themeColor="text1"/>
        </w:rPr>
        <w:t>Shadow banking involves a group of intermediaries who facilitate credits, but their members are not subjected to regulatory oversight. It involves unregulated actions by regulated organizations. Shadow banking should be heavily regulated; however, there are still challenges in their regulation in the present world.  Shadow banking is susceptible to runs depending on the non-bank entities and short-term finances</w:t>
      </w:r>
      <w:r w:rsidR="009E069E" w:rsidRPr="0058029B">
        <w:rPr>
          <w:color w:val="000000" w:themeColor="text1"/>
        </w:rPr>
        <w:t xml:space="preserve"> (</w:t>
      </w:r>
      <w:r w:rsidR="009E069E" w:rsidRPr="0058029B">
        <w:rPr>
          <w:color w:val="000000" w:themeColor="text1"/>
          <w:shd w:val="clear" w:color="auto" w:fill="FFFFFF"/>
        </w:rPr>
        <w:t>Rosenbaum &amp; Pearl, 2013)</w:t>
      </w:r>
      <w:r w:rsidRPr="0058029B">
        <w:rPr>
          <w:color w:val="000000" w:themeColor="text1"/>
        </w:rPr>
        <w:t xml:space="preserve">. </w:t>
      </w:r>
      <w:r w:rsidR="00D94A8C" w:rsidRPr="0058029B">
        <w:rPr>
          <w:color w:val="000000" w:themeColor="text1"/>
        </w:rPr>
        <w:t xml:space="preserve">Private credit markets finance shadow banking. The length of maturity of shadow banking mismatches the size of lending transactions. The borrowers of shadow banking are mainly corporations that require financial support from investors. The institutions </w:t>
      </w:r>
      <w:r w:rsidR="00072F07" w:rsidRPr="0058029B">
        <w:rPr>
          <w:color w:val="000000" w:themeColor="text1"/>
        </w:rPr>
        <w:t>act</w:t>
      </w:r>
      <w:r w:rsidR="00D94A8C" w:rsidRPr="0058029B">
        <w:rPr>
          <w:color w:val="000000" w:themeColor="text1"/>
        </w:rPr>
        <w:t xml:space="preserve"> as the </w:t>
      </w:r>
      <w:r w:rsidR="00072F07" w:rsidRPr="0058029B">
        <w:rPr>
          <w:color w:val="000000" w:themeColor="text1"/>
        </w:rPr>
        <w:t>link between the organizations and investors.</w:t>
      </w:r>
    </w:p>
    <w:p w:rsidR="006A3F99" w:rsidRDefault="006A3F99" w:rsidP="006A3F99">
      <w:pPr>
        <w:spacing w:line="480" w:lineRule="auto"/>
        <w:jc w:val="center"/>
        <w:rPr>
          <w:b/>
          <w:bCs/>
          <w:color w:val="000000" w:themeColor="text1"/>
        </w:rPr>
      </w:pPr>
    </w:p>
    <w:p w:rsidR="006A3F99" w:rsidRDefault="006A3F99" w:rsidP="006A3F99">
      <w:pPr>
        <w:spacing w:line="480" w:lineRule="auto"/>
        <w:jc w:val="center"/>
        <w:rPr>
          <w:b/>
          <w:bCs/>
          <w:color w:val="000000" w:themeColor="text1"/>
        </w:rPr>
      </w:pPr>
    </w:p>
    <w:p w:rsidR="00853580" w:rsidRPr="006A3F99" w:rsidRDefault="006A3F99" w:rsidP="006A3F99">
      <w:pPr>
        <w:spacing w:line="480" w:lineRule="auto"/>
        <w:jc w:val="center"/>
        <w:rPr>
          <w:b/>
          <w:bCs/>
          <w:color w:val="000000" w:themeColor="text1"/>
        </w:rPr>
      </w:pPr>
      <w:r>
        <w:rPr>
          <w:b/>
          <w:bCs/>
          <w:color w:val="000000" w:themeColor="text1"/>
        </w:rPr>
        <w:t>Question 6</w:t>
      </w:r>
    </w:p>
    <w:p w:rsidR="009E069E" w:rsidRPr="0058029B" w:rsidRDefault="000C7DE9" w:rsidP="009E069E">
      <w:pPr>
        <w:spacing w:line="480" w:lineRule="auto"/>
        <w:ind w:firstLine="851"/>
        <w:rPr>
          <w:color w:val="000000" w:themeColor="text1"/>
        </w:rPr>
      </w:pPr>
      <w:r w:rsidRPr="0058029B">
        <w:rPr>
          <w:color w:val="000000" w:themeColor="text1"/>
        </w:rPr>
        <w:t xml:space="preserve">Originate to distribute occurs when the lenders provide loans to sell them to other organizations or investors instead of holding them to maturity. The loan distributor remains with a portion of the loan and gives the balance to other investors. Most of the banks are involved in this money lending procedure to mitigate lending risk (Mishkin &amp; Serletis, 2011). The process also prevents corporate borrowers from negotiating </w:t>
      </w:r>
      <w:r w:rsidR="006A3F99">
        <w:rPr>
          <w:color w:val="000000" w:themeColor="text1"/>
        </w:rPr>
        <w:t xml:space="preserve">their credits. In the originating </w:t>
      </w:r>
      <w:r w:rsidRPr="0058029B">
        <w:rPr>
          <w:color w:val="000000" w:themeColor="text1"/>
        </w:rPr>
        <w:t>to hold model, the lenders generate loans and save them to maturity. The lender does not sell the loans to investors or other financial organizations. The banks manage the risks linked to maturity mismatch, funding stability, and solvency and leverage.</w:t>
      </w:r>
    </w:p>
    <w:p w:rsidR="009E069E" w:rsidRPr="009E069E" w:rsidRDefault="009E069E" w:rsidP="009E069E">
      <w:pPr>
        <w:spacing w:line="480" w:lineRule="auto"/>
        <w:ind w:firstLine="851"/>
        <w:rPr>
          <w:color w:val="000000" w:themeColor="text1"/>
        </w:rPr>
      </w:pPr>
    </w:p>
    <w:p w:rsidR="0058029B" w:rsidRDefault="0058029B" w:rsidP="009E069E">
      <w:pPr>
        <w:spacing w:line="480" w:lineRule="auto"/>
        <w:ind w:firstLine="851"/>
        <w:rPr>
          <w:color w:val="000000" w:themeColor="text1"/>
        </w:rPr>
      </w:pPr>
    </w:p>
    <w:p w:rsidR="0058029B" w:rsidRDefault="0058029B" w:rsidP="009E069E">
      <w:pPr>
        <w:spacing w:line="480" w:lineRule="auto"/>
        <w:ind w:firstLine="851"/>
        <w:rPr>
          <w:color w:val="000000" w:themeColor="text1"/>
        </w:rPr>
      </w:pPr>
    </w:p>
    <w:p w:rsidR="0058029B" w:rsidRDefault="0058029B" w:rsidP="009E069E">
      <w:pPr>
        <w:spacing w:line="480" w:lineRule="auto"/>
        <w:ind w:firstLine="851"/>
        <w:rPr>
          <w:color w:val="000000" w:themeColor="text1"/>
        </w:rPr>
      </w:pPr>
    </w:p>
    <w:p w:rsidR="0058029B" w:rsidRDefault="0058029B" w:rsidP="009E069E">
      <w:pPr>
        <w:spacing w:line="480" w:lineRule="auto"/>
        <w:ind w:firstLine="851"/>
        <w:rPr>
          <w:color w:val="000000" w:themeColor="text1"/>
        </w:rPr>
      </w:pPr>
    </w:p>
    <w:p w:rsidR="0058029B" w:rsidRDefault="0058029B" w:rsidP="009E069E">
      <w:pPr>
        <w:spacing w:line="480" w:lineRule="auto"/>
        <w:ind w:firstLine="851"/>
        <w:rPr>
          <w:color w:val="000000" w:themeColor="text1"/>
        </w:rPr>
      </w:pPr>
    </w:p>
    <w:p w:rsidR="0058029B" w:rsidRDefault="0058029B" w:rsidP="000C19E8">
      <w:pPr>
        <w:spacing w:line="480" w:lineRule="auto"/>
        <w:rPr>
          <w:color w:val="000000" w:themeColor="text1"/>
        </w:rPr>
      </w:pPr>
    </w:p>
    <w:p w:rsidR="006A3F99" w:rsidRDefault="006A3F99" w:rsidP="0058029B">
      <w:pPr>
        <w:spacing w:line="480" w:lineRule="auto"/>
        <w:ind w:firstLine="851"/>
        <w:jc w:val="center"/>
        <w:rPr>
          <w:color w:val="000000" w:themeColor="text1"/>
        </w:rPr>
      </w:pPr>
    </w:p>
    <w:p w:rsidR="006A3F99" w:rsidRDefault="006A3F99" w:rsidP="0058029B">
      <w:pPr>
        <w:spacing w:line="480" w:lineRule="auto"/>
        <w:ind w:firstLine="851"/>
        <w:jc w:val="center"/>
        <w:rPr>
          <w:color w:val="000000" w:themeColor="text1"/>
        </w:rPr>
      </w:pPr>
    </w:p>
    <w:p w:rsidR="006A3F99" w:rsidRDefault="006A3F99" w:rsidP="0058029B">
      <w:pPr>
        <w:spacing w:line="480" w:lineRule="auto"/>
        <w:ind w:firstLine="851"/>
        <w:jc w:val="center"/>
        <w:rPr>
          <w:color w:val="000000" w:themeColor="text1"/>
        </w:rPr>
      </w:pPr>
    </w:p>
    <w:p w:rsidR="006A3F99" w:rsidRDefault="006A3F99" w:rsidP="0058029B">
      <w:pPr>
        <w:spacing w:line="480" w:lineRule="auto"/>
        <w:ind w:firstLine="851"/>
        <w:jc w:val="center"/>
        <w:rPr>
          <w:color w:val="000000" w:themeColor="text1"/>
        </w:rPr>
      </w:pPr>
    </w:p>
    <w:p w:rsidR="006A3F99" w:rsidRDefault="006A3F99" w:rsidP="0058029B">
      <w:pPr>
        <w:spacing w:line="480" w:lineRule="auto"/>
        <w:ind w:firstLine="851"/>
        <w:jc w:val="center"/>
        <w:rPr>
          <w:color w:val="000000" w:themeColor="text1"/>
        </w:rPr>
      </w:pPr>
    </w:p>
    <w:p w:rsidR="006A3F99" w:rsidRDefault="006A3F99" w:rsidP="0058029B">
      <w:pPr>
        <w:spacing w:line="480" w:lineRule="auto"/>
        <w:ind w:firstLine="851"/>
        <w:jc w:val="center"/>
        <w:rPr>
          <w:color w:val="000000" w:themeColor="text1"/>
        </w:rPr>
      </w:pPr>
    </w:p>
    <w:p w:rsidR="009E069E" w:rsidRPr="009E069E" w:rsidRDefault="000C7DE9" w:rsidP="0058029B">
      <w:pPr>
        <w:spacing w:line="480" w:lineRule="auto"/>
        <w:ind w:firstLine="851"/>
        <w:jc w:val="center"/>
        <w:rPr>
          <w:color w:val="000000" w:themeColor="text1"/>
        </w:rPr>
      </w:pPr>
      <w:r w:rsidRPr="009E069E">
        <w:rPr>
          <w:color w:val="000000" w:themeColor="text1"/>
        </w:rPr>
        <w:t>References</w:t>
      </w:r>
    </w:p>
    <w:p w:rsidR="006A3F99" w:rsidRDefault="000C7DE9" w:rsidP="006A3F99">
      <w:pPr>
        <w:pStyle w:val="citation"/>
        <w:shd w:val="clear" w:color="auto" w:fill="FFFFFF"/>
        <w:spacing w:after="0" w:afterAutospacing="0" w:line="480" w:lineRule="auto"/>
        <w:ind w:left="851" w:hanging="851"/>
        <w:rPr>
          <w:color w:val="000000" w:themeColor="text1"/>
        </w:rPr>
      </w:pPr>
      <w:r w:rsidRPr="009E069E">
        <w:rPr>
          <w:color w:val="000000" w:themeColor="text1"/>
        </w:rPr>
        <w:t>Mishkin, F. S., &amp; Serletis, A. (2011). </w:t>
      </w:r>
      <w:r w:rsidRPr="009E069E">
        <w:rPr>
          <w:i/>
          <w:iCs/>
          <w:color w:val="000000" w:themeColor="text1"/>
        </w:rPr>
        <w:t>The economics of money, banking, and financial markets</w:t>
      </w:r>
      <w:r w:rsidRPr="009E069E">
        <w:rPr>
          <w:color w:val="000000" w:themeColor="text1"/>
        </w:rPr>
        <w:t>. Toronto: Pearson Addison Wesley.</w:t>
      </w:r>
    </w:p>
    <w:p w:rsidR="009E069E" w:rsidRPr="009E069E" w:rsidRDefault="000C7DE9" w:rsidP="006A3F99">
      <w:pPr>
        <w:pStyle w:val="citation"/>
        <w:shd w:val="clear" w:color="auto" w:fill="FFFFFF"/>
        <w:spacing w:after="0" w:afterAutospacing="0" w:line="480" w:lineRule="auto"/>
        <w:ind w:left="851" w:hanging="851"/>
        <w:rPr>
          <w:color w:val="000000" w:themeColor="text1"/>
        </w:rPr>
      </w:pPr>
      <w:r w:rsidRPr="009E069E">
        <w:rPr>
          <w:color w:val="000000" w:themeColor="text1"/>
          <w:shd w:val="clear" w:color="auto" w:fill="FFFFFF"/>
        </w:rPr>
        <w:t>Rosenbaum, J., &amp; Pearl, J. (2013). </w:t>
      </w:r>
      <w:r w:rsidRPr="009E069E">
        <w:rPr>
          <w:i/>
          <w:iCs/>
          <w:color w:val="000000" w:themeColor="text1"/>
          <w:shd w:val="clear" w:color="auto" w:fill="FFFFFF"/>
        </w:rPr>
        <w:t>Investment Banking: Valuation, leveraged buyouts, and mergers &amp; acquisitions</w:t>
      </w:r>
      <w:r w:rsidRPr="009E069E">
        <w:rPr>
          <w:color w:val="000000" w:themeColor="text1"/>
          <w:shd w:val="clear" w:color="auto" w:fill="FFFFFF"/>
        </w:rPr>
        <w:t> (Second edition, University edition.). Hoboken, N.J.: John Wiley &amp; Sons.</w:t>
      </w:r>
    </w:p>
    <w:p w:rsidR="009E069E" w:rsidRPr="009E069E" w:rsidRDefault="009E069E" w:rsidP="009E069E">
      <w:pPr>
        <w:spacing w:line="480" w:lineRule="auto"/>
        <w:ind w:firstLine="851"/>
        <w:rPr>
          <w:color w:val="000000" w:themeColor="text1"/>
        </w:rPr>
      </w:pPr>
    </w:p>
    <w:p w:rsidR="00072F07" w:rsidRPr="009E069E" w:rsidRDefault="00072F07" w:rsidP="009E069E">
      <w:pPr>
        <w:spacing w:line="480" w:lineRule="auto"/>
        <w:ind w:firstLine="851"/>
        <w:rPr>
          <w:color w:val="000000" w:themeColor="text1"/>
        </w:rPr>
      </w:pPr>
    </w:p>
    <w:p w:rsidR="00853580" w:rsidRPr="009E069E" w:rsidRDefault="00853580" w:rsidP="009E069E">
      <w:pPr>
        <w:spacing w:line="480" w:lineRule="auto"/>
        <w:ind w:firstLine="851"/>
        <w:rPr>
          <w:b/>
          <w:color w:val="000000" w:themeColor="text1"/>
        </w:rPr>
      </w:pPr>
    </w:p>
    <w:p w:rsidR="00853580" w:rsidRPr="009E069E" w:rsidRDefault="00853580" w:rsidP="009E069E">
      <w:pPr>
        <w:spacing w:line="480" w:lineRule="auto"/>
        <w:ind w:firstLine="851"/>
        <w:rPr>
          <w:color w:val="000000" w:themeColor="text1"/>
        </w:rPr>
      </w:pPr>
    </w:p>
    <w:p w:rsidR="00DA56F3" w:rsidRPr="009E069E" w:rsidRDefault="00DA56F3" w:rsidP="009E069E">
      <w:pPr>
        <w:spacing w:line="480" w:lineRule="auto"/>
        <w:ind w:firstLine="851"/>
        <w:rPr>
          <w:color w:val="000000" w:themeColor="text1"/>
        </w:rPr>
      </w:pPr>
    </w:p>
    <w:sectPr w:rsidR="00DA56F3" w:rsidRPr="009E069E" w:rsidSect="009E069E">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615" w:rsidRDefault="005D3615">
      <w:r>
        <w:separator/>
      </w:r>
    </w:p>
  </w:endnote>
  <w:endnote w:type="continuationSeparator" w:id="1">
    <w:p w:rsidR="005D3615" w:rsidRDefault="005D361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615" w:rsidRDefault="005D3615">
      <w:r>
        <w:separator/>
      </w:r>
    </w:p>
  </w:footnote>
  <w:footnote w:type="continuationSeparator" w:id="1">
    <w:p w:rsidR="005D3615" w:rsidRDefault="005D36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69E" w:rsidRDefault="000C7DE9" w:rsidP="009E069E">
    <w:pPr>
      <w:pStyle w:val="Header"/>
    </w:pPr>
    <w:r>
      <w:t>QUESTIONS</w:t>
    </w:r>
    <w:sdt>
      <w:sdtPr>
        <w:id w:val="191271992"/>
        <w:docPartObj>
          <w:docPartGallery w:val="Page Numbers (Top of Page)"/>
          <w:docPartUnique/>
        </w:docPartObj>
      </w:sdtPr>
      <w:sdtEndPr>
        <w:rPr>
          <w:noProof/>
        </w:rPr>
      </w:sdtEndPr>
      <w:sdtContent>
        <w:r w:rsidR="002116ED">
          <w:t xml:space="preserve">                                                                                                                      </w:t>
        </w:r>
        <w:r w:rsidR="00843E1E">
          <w:fldChar w:fldCharType="begin"/>
        </w:r>
        <w:r>
          <w:instrText xml:space="preserve"> PAGE   \* MERGEFORMAT </w:instrText>
        </w:r>
        <w:r w:rsidR="00843E1E">
          <w:fldChar w:fldCharType="separate"/>
        </w:r>
        <w:r w:rsidR="00E74C3E">
          <w:rPr>
            <w:noProof/>
          </w:rPr>
          <w:t>5</w:t>
        </w:r>
        <w:r w:rsidR="00843E1E">
          <w:rPr>
            <w:noProof/>
          </w:rPr>
          <w:fldChar w:fldCharType="end"/>
        </w:r>
      </w:sdtContent>
    </w:sdt>
  </w:p>
  <w:p w:rsidR="009E069E" w:rsidRDefault="009E06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69E" w:rsidRDefault="000C7DE9" w:rsidP="009E069E">
    <w:pPr>
      <w:pStyle w:val="Header"/>
    </w:pPr>
    <w:r>
      <w:t>Running head: QUESTIONS</w:t>
    </w:r>
    <w:sdt>
      <w:sdtPr>
        <w:id w:val="-1782334291"/>
        <w:docPartObj>
          <w:docPartGallery w:val="Page Numbers (Top of Page)"/>
          <w:docPartUnique/>
        </w:docPartObj>
      </w:sdtPr>
      <w:sdtEndPr>
        <w:rPr>
          <w:noProof/>
        </w:rPr>
      </w:sdtEndPr>
      <w:sdtContent>
        <w:r w:rsidR="002116ED">
          <w:t xml:space="preserve">                                                                                              </w:t>
        </w:r>
        <w:r w:rsidR="00843E1E">
          <w:fldChar w:fldCharType="begin"/>
        </w:r>
        <w:r>
          <w:instrText xml:space="preserve"> PAGE   \* MERGEFORMAT </w:instrText>
        </w:r>
        <w:r w:rsidR="00843E1E">
          <w:fldChar w:fldCharType="separate"/>
        </w:r>
        <w:r w:rsidR="005D3615">
          <w:rPr>
            <w:noProof/>
          </w:rPr>
          <w:t>1</w:t>
        </w:r>
        <w:r w:rsidR="00843E1E">
          <w:rPr>
            <w:noProof/>
          </w:rPr>
          <w:fldChar w:fldCharType="end"/>
        </w:r>
      </w:sdtContent>
    </w:sdt>
  </w:p>
  <w:p w:rsidR="009E069E" w:rsidRDefault="009E06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E4723"/>
    <w:multiLevelType w:val="multilevel"/>
    <w:tmpl w:val="A71A0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98404E"/>
    <w:multiLevelType w:val="hybridMultilevel"/>
    <w:tmpl w:val="6450D9B0"/>
    <w:lvl w:ilvl="0" w:tplc="134E0C8E">
      <w:start w:val="1"/>
      <w:numFmt w:val="decimal"/>
      <w:lvlText w:val="%1."/>
      <w:lvlJc w:val="left"/>
      <w:pPr>
        <w:ind w:left="360" w:hanging="360"/>
      </w:pPr>
      <w:rPr>
        <w:rFonts w:hint="default"/>
      </w:rPr>
    </w:lvl>
    <w:lvl w:ilvl="1" w:tplc="2594E550" w:tentative="1">
      <w:start w:val="1"/>
      <w:numFmt w:val="lowerLetter"/>
      <w:lvlText w:val="%2."/>
      <w:lvlJc w:val="left"/>
      <w:pPr>
        <w:ind w:left="1440" w:hanging="360"/>
      </w:pPr>
    </w:lvl>
    <w:lvl w:ilvl="2" w:tplc="E49AAE24" w:tentative="1">
      <w:start w:val="1"/>
      <w:numFmt w:val="lowerRoman"/>
      <w:lvlText w:val="%3."/>
      <w:lvlJc w:val="right"/>
      <w:pPr>
        <w:ind w:left="2160" w:hanging="180"/>
      </w:pPr>
    </w:lvl>
    <w:lvl w:ilvl="3" w:tplc="44EA34CC" w:tentative="1">
      <w:start w:val="1"/>
      <w:numFmt w:val="decimal"/>
      <w:lvlText w:val="%4."/>
      <w:lvlJc w:val="left"/>
      <w:pPr>
        <w:ind w:left="2880" w:hanging="360"/>
      </w:pPr>
    </w:lvl>
    <w:lvl w:ilvl="4" w:tplc="F2D203CA" w:tentative="1">
      <w:start w:val="1"/>
      <w:numFmt w:val="lowerLetter"/>
      <w:lvlText w:val="%5."/>
      <w:lvlJc w:val="left"/>
      <w:pPr>
        <w:ind w:left="3600" w:hanging="360"/>
      </w:pPr>
    </w:lvl>
    <w:lvl w:ilvl="5" w:tplc="D79C3248" w:tentative="1">
      <w:start w:val="1"/>
      <w:numFmt w:val="lowerRoman"/>
      <w:lvlText w:val="%6."/>
      <w:lvlJc w:val="right"/>
      <w:pPr>
        <w:ind w:left="4320" w:hanging="180"/>
      </w:pPr>
    </w:lvl>
    <w:lvl w:ilvl="6" w:tplc="7FD444F0" w:tentative="1">
      <w:start w:val="1"/>
      <w:numFmt w:val="decimal"/>
      <w:lvlText w:val="%7."/>
      <w:lvlJc w:val="left"/>
      <w:pPr>
        <w:ind w:left="5040" w:hanging="360"/>
      </w:pPr>
    </w:lvl>
    <w:lvl w:ilvl="7" w:tplc="3A7E7762" w:tentative="1">
      <w:start w:val="1"/>
      <w:numFmt w:val="lowerLetter"/>
      <w:lvlText w:val="%8."/>
      <w:lvlJc w:val="left"/>
      <w:pPr>
        <w:ind w:left="5760" w:hanging="360"/>
      </w:pPr>
    </w:lvl>
    <w:lvl w:ilvl="8" w:tplc="904C403E" w:tentative="1">
      <w:start w:val="1"/>
      <w:numFmt w:val="lowerRoman"/>
      <w:lvlText w:val="%9."/>
      <w:lvlJc w:val="right"/>
      <w:pPr>
        <w:ind w:left="6480" w:hanging="180"/>
      </w:pPr>
    </w:lvl>
  </w:abstractNum>
  <w:abstractNum w:abstractNumId="2">
    <w:nsid w:val="4F052696"/>
    <w:multiLevelType w:val="hybridMultilevel"/>
    <w:tmpl w:val="21A04D0A"/>
    <w:lvl w:ilvl="0" w:tplc="BC688634">
      <w:start w:val="1"/>
      <w:numFmt w:val="decimal"/>
      <w:lvlText w:val="%1."/>
      <w:lvlJc w:val="left"/>
      <w:pPr>
        <w:ind w:left="720" w:hanging="360"/>
      </w:pPr>
      <w:rPr>
        <w:rFonts w:hint="default"/>
      </w:rPr>
    </w:lvl>
    <w:lvl w:ilvl="1" w:tplc="1D4C6DA0" w:tentative="1">
      <w:start w:val="1"/>
      <w:numFmt w:val="lowerLetter"/>
      <w:lvlText w:val="%2."/>
      <w:lvlJc w:val="left"/>
      <w:pPr>
        <w:ind w:left="1440" w:hanging="360"/>
      </w:pPr>
    </w:lvl>
    <w:lvl w:ilvl="2" w:tplc="30C458E4" w:tentative="1">
      <w:start w:val="1"/>
      <w:numFmt w:val="lowerRoman"/>
      <w:lvlText w:val="%3."/>
      <w:lvlJc w:val="right"/>
      <w:pPr>
        <w:ind w:left="2160" w:hanging="180"/>
      </w:pPr>
    </w:lvl>
    <w:lvl w:ilvl="3" w:tplc="883AAF0E" w:tentative="1">
      <w:start w:val="1"/>
      <w:numFmt w:val="decimal"/>
      <w:lvlText w:val="%4."/>
      <w:lvlJc w:val="left"/>
      <w:pPr>
        <w:ind w:left="2880" w:hanging="360"/>
      </w:pPr>
    </w:lvl>
    <w:lvl w:ilvl="4" w:tplc="57943512" w:tentative="1">
      <w:start w:val="1"/>
      <w:numFmt w:val="lowerLetter"/>
      <w:lvlText w:val="%5."/>
      <w:lvlJc w:val="left"/>
      <w:pPr>
        <w:ind w:left="3600" w:hanging="360"/>
      </w:pPr>
    </w:lvl>
    <w:lvl w:ilvl="5" w:tplc="56BC01AA" w:tentative="1">
      <w:start w:val="1"/>
      <w:numFmt w:val="lowerRoman"/>
      <w:lvlText w:val="%6."/>
      <w:lvlJc w:val="right"/>
      <w:pPr>
        <w:ind w:left="4320" w:hanging="180"/>
      </w:pPr>
    </w:lvl>
    <w:lvl w:ilvl="6" w:tplc="44D89BF0" w:tentative="1">
      <w:start w:val="1"/>
      <w:numFmt w:val="decimal"/>
      <w:lvlText w:val="%7."/>
      <w:lvlJc w:val="left"/>
      <w:pPr>
        <w:ind w:left="5040" w:hanging="360"/>
      </w:pPr>
    </w:lvl>
    <w:lvl w:ilvl="7" w:tplc="B6348928" w:tentative="1">
      <w:start w:val="1"/>
      <w:numFmt w:val="lowerLetter"/>
      <w:lvlText w:val="%8."/>
      <w:lvlJc w:val="left"/>
      <w:pPr>
        <w:ind w:left="5760" w:hanging="360"/>
      </w:pPr>
    </w:lvl>
    <w:lvl w:ilvl="8" w:tplc="451EFEB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853580"/>
    <w:rsid w:val="00072F07"/>
    <w:rsid w:val="000C19E8"/>
    <w:rsid w:val="000C7DE9"/>
    <w:rsid w:val="00113900"/>
    <w:rsid w:val="0020555F"/>
    <w:rsid w:val="002116ED"/>
    <w:rsid w:val="002546BE"/>
    <w:rsid w:val="003A53FA"/>
    <w:rsid w:val="0058029B"/>
    <w:rsid w:val="005D3615"/>
    <w:rsid w:val="005D3D87"/>
    <w:rsid w:val="006528CC"/>
    <w:rsid w:val="006A3F99"/>
    <w:rsid w:val="0073364C"/>
    <w:rsid w:val="00747F0E"/>
    <w:rsid w:val="00843E1E"/>
    <w:rsid w:val="00853580"/>
    <w:rsid w:val="00996E52"/>
    <w:rsid w:val="009E069E"/>
    <w:rsid w:val="00A1639B"/>
    <w:rsid w:val="00AA6946"/>
    <w:rsid w:val="00C358D2"/>
    <w:rsid w:val="00CC37F4"/>
    <w:rsid w:val="00D94A8C"/>
    <w:rsid w:val="00DA56F3"/>
    <w:rsid w:val="00E74C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58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3580"/>
    <w:rPr>
      <w:color w:val="0000FF"/>
      <w:u w:val="single"/>
    </w:rPr>
  </w:style>
  <w:style w:type="paragraph" w:styleId="ListParagraph">
    <w:name w:val="List Paragraph"/>
    <w:basedOn w:val="Normal"/>
    <w:uiPriority w:val="34"/>
    <w:qFormat/>
    <w:rsid w:val="00853580"/>
    <w:pPr>
      <w:spacing w:after="200" w:line="276" w:lineRule="auto"/>
      <w:ind w:left="720"/>
      <w:contextualSpacing/>
    </w:pPr>
    <w:rPr>
      <w:rFonts w:ascii="Calibri" w:eastAsia="Calibri" w:hAnsi="Calibri"/>
      <w:sz w:val="22"/>
      <w:szCs w:val="22"/>
    </w:rPr>
  </w:style>
  <w:style w:type="paragraph" w:customStyle="1" w:styleId="citation">
    <w:name w:val="citation"/>
    <w:basedOn w:val="Normal"/>
    <w:rsid w:val="009E069E"/>
    <w:pPr>
      <w:spacing w:before="100" w:beforeAutospacing="1" w:after="100" w:afterAutospacing="1"/>
    </w:pPr>
  </w:style>
  <w:style w:type="paragraph" w:styleId="Header">
    <w:name w:val="header"/>
    <w:basedOn w:val="Normal"/>
    <w:link w:val="HeaderChar"/>
    <w:uiPriority w:val="99"/>
    <w:unhideWhenUsed/>
    <w:rsid w:val="009E069E"/>
    <w:pPr>
      <w:tabs>
        <w:tab w:val="center" w:pos="4513"/>
        <w:tab w:val="right" w:pos="9026"/>
      </w:tabs>
    </w:pPr>
  </w:style>
  <w:style w:type="character" w:customStyle="1" w:styleId="HeaderChar">
    <w:name w:val="Header Char"/>
    <w:basedOn w:val="DefaultParagraphFont"/>
    <w:link w:val="Header"/>
    <w:uiPriority w:val="99"/>
    <w:rsid w:val="009E069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E069E"/>
    <w:pPr>
      <w:tabs>
        <w:tab w:val="center" w:pos="4513"/>
        <w:tab w:val="right" w:pos="9026"/>
      </w:tabs>
    </w:pPr>
  </w:style>
  <w:style w:type="character" w:customStyle="1" w:styleId="FooterChar">
    <w:name w:val="Footer Char"/>
    <w:basedOn w:val="DefaultParagraphFont"/>
    <w:link w:val="Footer"/>
    <w:uiPriority w:val="99"/>
    <w:rsid w:val="009E069E"/>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Nigro</dc:creator>
  <cp:lastModifiedBy>ADM</cp:lastModifiedBy>
  <cp:revision>3</cp:revision>
  <dcterms:created xsi:type="dcterms:W3CDTF">2020-09-03T08:14:00Z</dcterms:created>
  <dcterms:modified xsi:type="dcterms:W3CDTF">2020-09-03T08:15:00Z</dcterms:modified>
</cp:coreProperties>
</file>