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EF96CF" w14:textId="77777777" w:rsidR="00BC274B" w:rsidRDefault="00BC274B" w:rsidP="00BC274B">
      <w:r>
        <w:t xml:space="preserve">Post 1 </w:t>
      </w:r>
    </w:p>
    <w:p w14:paraId="76793074" w14:textId="77777777" w:rsidR="00BC274B" w:rsidRDefault="00BC274B" w:rsidP="00BC274B">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 am beginning a course for certification in Infant Mental Health. The first meeting is based on the objectives and outlines the three-month course. The course will result in taking a certification exam for becoming </w:t>
      </w:r>
      <w:proofErr w:type="gramStart"/>
      <w:r>
        <w:rPr>
          <w:rFonts w:ascii="Helvetica Neue" w:hAnsi="Helvetica Neue"/>
          <w:color w:val="2D3B45"/>
        </w:rPr>
        <w:t>a  leader</w:t>
      </w:r>
      <w:proofErr w:type="gramEnd"/>
      <w:r>
        <w:rPr>
          <w:rFonts w:ascii="Helvetica Neue" w:hAnsi="Helvetica Neue"/>
          <w:color w:val="2D3B45"/>
        </w:rPr>
        <w:t xml:space="preserve"> and teaching this information to other adults.</w:t>
      </w:r>
    </w:p>
    <w:p w14:paraId="2244C741" w14:textId="77777777" w:rsidR="00BC274B" w:rsidRDefault="00BC274B" w:rsidP="00BC274B">
      <w:pPr>
        <w:pStyle w:val="NormalWeb"/>
        <w:spacing w:before="180" w:beforeAutospacing="0" w:after="180" w:afterAutospacing="0"/>
        <w:rPr>
          <w:rFonts w:ascii="Helvetica Neue" w:hAnsi="Helvetica Neue"/>
          <w:color w:val="2D3B45"/>
        </w:rPr>
      </w:pPr>
      <w:r>
        <w:rPr>
          <w:rFonts w:ascii="Helvetica Neue" w:hAnsi="Helvetica Neue"/>
          <w:color w:val="2D3B45"/>
        </w:rPr>
        <w:t>The course has been effective in helping the objectives to be met. The structure of learning in this course is a combination of expository and discovery learning. Effective learning is essential and must maintain the path of teaching as needed to pass the certification exam.</w:t>
      </w:r>
    </w:p>
    <w:p w14:paraId="439CDEDB" w14:textId="77777777" w:rsidR="00BC274B" w:rsidRDefault="00BC274B" w:rsidP="00BC274B">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 really enjoyed Dr. </w:t>
      </w:r>
      <w:proofErr w:type="spellStart"/>
      <w:r>
        <w:rPr>
          <w:rFonts w:ascii="Helvetica Neue" w:hAnsi="Helvetica Neue"/>
          <w:color w:val="2D3B45"/>
        </w:rPr>
        <w:t>Thiagi’s</w:t>
      </w:r>
      <w:proofErr w:type="spellEnd"/>
      <w:r>
        <w:rPr>
          <w:rFonts w:ascii="Helvetica Neue" w:hAnsi="Helvetica Neue"/>
          <w:color w:val="2D3B45"/>
        </w:rPr>
        <w:t xml:space="preserve"> style. He presented his material in a fun and interesting way, while he conveyed his message effectively. The Infant Mental Health course utilizes many of his objectives. Specifically, the instructors are knowledgeable and passionate about what they are teaching. Their excitement is radiated and encourages learners to become actively engaged in the process of learning.</w:t>
      </w:r>
    </w:p>
    <w:p w14:paraId="741E5404" w14:textId="77777777" w:rsidR="00BC274B" w:rsidRDefault="00BC274B" w:rsidP="00BC274B"/>
    <w:p w14:paraId="4A8A2333" w14:textId="77777777" w:rsidR="00BC274B" w:rsidRDefault="00BC274B" w:rsidP="00BC274B">
      <w:r>
        <w:t xml:space="preserve">Post 2 </w:t>
      </w:r>
    </w:p>
    <w:p w14:paraId="30753E36" w14:textId="77777777" w:rsidR="00BC274B" w:rsidRPr="00CB4E37" w:rsidRDefault="00BC274B" w:rsidP="00BC274B">
      <w:pPr>
        <w:spacing w:before="180" w:after="180"/>
        <w:rPr>
          <w:rFonts w:ascii="Helvetica Neue" w:hAnsi="Helvetica Neue" w:cs="Times New Roman"/>
          <w:color w:val="2D3B45"/>
        </w:rPr>
      </w:pPr>
      <w:r w:rsidRPr="00CB4E37">
        <w:rPr>
          <w:rFonts w:ascii="Helvetica Neue" w:hAnsi="Helvetica Neue" w:cs="Times New Roman"/>
          <w:color w:val="2D3B45"/>
        </w:rPr>
        <w:t>     I recently attended a professional development seminar on sex education. It was a 6-hour workshop that consisted of lectures, discussions, and brief activities. I would say this course primarily took an expository approach. It was fairly traditional in that the trainer was communicating information to learners, tested them on their understanding of the material, and allowed participants to apply and practice what they learned (Rothwell et al., 2016). However, there were some discovery instructional strategies. While the objectives of the course were met throughout the seminar, the ultimate outcomes/results of the training were open (Rothwell et al., 2016). Attendees could take what they learned and apply the sex education program to their schools in any way they wanted. Most of the presentations of the workshop were based on facts, but there were activities that allowed for discussion and interpretation.</w:t>
      </w:r>
    </w:p>
    <w:p w14:paraId="1CE05990" w14:textId="77777777" w:rsidR="00BC274B" w:rsidRPr="00CB4E37" w:rsidRDefault="00BC274B" w:rsidP="00BC274B">
      <w:pPr>
        <w:spacing w:before="180" w:after="180"/>
        <w:rPr>
          <w:rFonts w:ascii="Helvetica Neue" w:hAnsi="Helvetica Neue" w:cs="Times New Roman"/>
          <w:color w:val="2D3B45"/>
        </w:rPr>
      </w:pPr>
      <w:r w:rsidRPr="00CB4E37">
        <w:rPr>
          <w:rFonts w:ascii="Helvetica Neue" w:hAnsi="Helvetica Neue" w:cs="Times New Roman"/>
          <w:color w:val="2D3B45"/>
        </w:rPr>
        <w:t>     The sex education program I attended had clear, measurable objectives. These were listed at the beginning of the seminar so that everyone knew what to expect. Then, throughout the course, the trainer would identify when we were covering an objective. This made it easy to help learners meet the objectives. He also used a variety of media and delivery methods to keep learners engaged (Rothwell et al., 2016). I was pleasantly surprised to see how well developed and organized the sex education course was, and it made me realize how important it is to create a well-designed course.</w:t>
      </w:r>
    </w:p>
    <w:p w14:paraId="65D8A8C6" w14:textId="77777777" w:rsidR="00BC274B" w:rsidRPr="00CB4E37" w:rsidRDefault="00BC274B" w:rsidP="00BC274B">
      <w:pPr>
        <w:spacing w:before="180" w:after="180"/>
        <w:rPr>
          <w:rFonts w:ascii="Helvetica Neue" w:hAnsi="Helvetica Neue" w:cs="Times New Roman"/>
          <w:color w:val="2D3B45"/>
        </w:rPr>
      </w:pPr>
      <w:r w:rsidRPr="00CB4E37">
        <w:rPr>
          <w:rFonts w:ascii="Helvetica Neue" w:hAnsi="Helvetica Neue" w:cs="Times New Roman"/>
          <w:color w:val="2D3B45"/>
        </w:rPr>
        <w:t xml:space="preserve">     I also really enjoyed the presentation by </w:t>
      </w:r>
      <w:proofErr w:type="spellStart"/>
      <w:r w:rsidRPr="00CB4E37">
        <w:rPr>
          <w:rFonts w:ascii="Helvetica Neue" w:hAnsi="Helvetica Neue" w:cs="Times New Roman"/>
          <w:color w:val="2D3B45"/>
        </w:rPr>
        <w:t>Tiagi</w:t>
      </w:r>
      <w:proofErr w:type="spellEnd"/>
      <w:r w:rsidRPr="00CB4E37">
        <w:rPr>
          <w:rFonts w:ascii="Helvetica Neue" w:hAnsi="Helvetica Neue" w:cs="Times New Roman"/>
          <w:color w:val="2D3B45"/>
        </w:rPr>
        <w:t xml:space="preserve"> and the strategies he presented for the sexual harassment training program. I particularly liked the game he described with the deck of cards that turned out to be a metaphor (</w:t>
      </w:r>
      <w:proofErr w:type="spellStart"/>
      <w:r w:rsidRPr="00CB4E37">
        <w:rPr>
          <w:rFonts w:ascii="Helvetica Neue" w:hAnsi="Helvetica Neue" w:cs="Times New Roman"/>
          <w:color w:val="2D3B45"/>
        </w:rPr>
        <w:t>UMBCTube</w:t>
      </w:r>
      <w:proofErr w:type="spellEnd"/>
      <w:r w:rsidRPr="00CB4E37">
        <w:rPr>
          <w:rFonts w:ascii="Helvetica Neue" w:hAnsi="Helvetica Neue" w:cs="Times New Roman"/>
          <w:color w:val="2D3B45"/>
        </w:rPr>
        <w:t xml:space="preserve">, 2008). We did not utilize anything like this in the sex education course I attended, but we did use some of his other ideas. For instance, we did break into groups to brainstorm ways to make the </w:t>
      </w:r>
      <w:r w:rsidRPr="00CB4E37">
        <w:rPr>
          <w:rFonts w:ascii="Helvetica Neue" w:hAnsi="Helvetica Neue" w:cs="Times New Roman"/>
          <w:color w:val="2D3B45"/>
        </w:rPr>
        <w:lastRenderedPageBreak/>
        <w:t>educational material fun and exciting and then presented our ideas (</w:t>
      </w:r>
      <w:proofErr w:type="spellStart"/>
      <w:r w:rsidRPr="00CB4E37">
        <w:rPr>
          <w:rFonts w:ascii="Helvetica Neue" w:hAnsi="Helvetica Neue" w:cs="Times New Roman"/>
          <w:color w:val="2D3B45"/>
        </w:rPr>
        <w:t>UMBCTube</w:t>
      </w:r>
      <w:proofErr w:type="spellEnd"/>
      <w:r w:rsidRPr="00CB4E37">
        <w:rPr>
          <w:rFonts w:ascii="Helvetica Neue" w:hAnsi="Helvetica Neue" w:cs="Times New Roman"/>
          <w:color w:val="2D3B45"/>
        </w:rPr>
        <w:t xml:space="preserve">, 2008). The trainer jotted them all down, and then showed his list of ideas that have been effective in the past. I hope to see some of the other items </w:t>
      </w:r>
      <w:proofErr w:type="spellStart"/>
      <w:r w:rsidRPr="00CB4E37">
        <w:rPr>
          <w:rFonts w:ascii="Helvetica Neue" w:hAnsi="Helvetica Neue" w:cs="Times New Roman"/>
          <w:color w:val="2D3B45"/>
        </w:rPr>
        <w:t>Tiagi</w:t>
      </w:r>
      <w:proofErr w:type="spellEnd"/>
      <w:r w:rsidRPr="00CB4E37">
        <w:rPr>
          <w:rFonts w:ascii="Helvetica Neue" w:hAnsi="Helvetica Neue" w:cs="Times New Roman"/>
          <w:color w:val="2D3B45"/>
        </w:rPr>
        <w:t xml:space="preserve"> described in future courses. </w:t>
      </w:r>
    </w:p>
    <w:p w14:paraId="43CFAE5D" w14:textId="77777777" w:rsidR="00BC274B" w:rsidRPr="00CB4E37" w:rsidRDefault="00BC274B" w:rsidP="00BC274B">
      <w:pPr>
        <w:spacing w:before="180" w:after="180"/>
        <w:rPr>
          <w:rFonts w:ascii="Helvetica Neue" w:hAnsi="Helvetica Neue" w:cs="Times New Roman"/>
          <w:color w:val="2D3B45"/>
        </w:rPr>
      </w:pPr>
      <w:r w:rsidRPr="00CB4E37">
        <w:rPr>
          <w:rFonts w:ascii="Helvetica Neue" w:hAnsi="Helvetica Neue" w:cs="Times New Roman"/>
          <w:color w:val="2D3B45"/>
        </w:rPr>
        <w:t xml:space="preserve">Rothwell, W., </w:t>
      </w:r>
      <w:proofErr w:type="spellStart"/>
      <w:r w:rsidRPr="00CB4E37">
        <w:rPr>
          <w:rFonts w:ascii="Helvetica Neue" w:hAnsi="Helvetica Neue" w:cs="Times New Roman"/>
          <w:color w:val="2D3B45"/>
        </w:rPr>
        <w:t>Benscoter</w:t>
      </w:r>
      <w:proofErr w:type="spellEnd"/>
      <w:r w:rsidRPr="00CB4E37">
        <w:rPr>
          <w:rFonts w:ascii="Helvetica Neue" w:hAnsi="Helvetica Neue" w:cs="Times New Roman"/>
          <w:color w:val="2D3B45"/>
        </w:rPr>
        <w:t xml:space="preserve">, B., King, M., &amp; King S. (2016). Mastering the instructional design process (5th </w:t>
      </w:r>
      <w:proofErr w:type="spellStart"/>
      <w:r w:rsidRPr="00CB4E37">
        <w:rPr>
          <w:rFonts w:ascii="Helvetica Neue" w:hAnsi="Helvetica Neue" w:cs="Times New Roman"/>
          <w:color w:val="2D3B45"/>
        </w:rPr>
        <w:t>ed</w:t>
      </w:r>
      <w:proofErr w:type="spellEnd"/>
      <w:r w:rsidRPr="00CB4E37">
        <w:rPr>
          <w:rFonts w:ascii="Helvetica Neue" w:hAnsi="Helvetica Neue" w:cs="Times New Roman"/>
          <w:color w:val="2D3B45"/>
        </w:rPr>
        <w:t>). Hoboken, NJ: John Wiley &amp; Sons.</w:t>
      </w:r>
    </w:p>
    <w:p w14:paraId="1160F7FC" w14:textId="77777777" w:rsidR="00BC274B" w:rsidRPr="00CB4E37" w:rsidRDefault="00BC274B" w:rsidP="00BC274B">
      <w:pPr>
        <w:spacing w:before="180"/>
        <w:rPr>
          <w:rFonts w:ascii="Helvetica Neue" w:hAnsi="Helvetica Neue" w:cs="Times New Roman"/>
          <w:color w:val="2D3B45"/>
        </w:rPr>
      </w:pPr>
      <w:proofErr w:type="spellStart"/>
      <w:r w:rsidRPr="00CB4E37">
        <w:rPr>
          <w:rFonts w:ascii="Helvetica Neue" w:hAnsi="Helvetica Neue" w:cs="Times New Roman"/>
          <w:color w:val="2D3B45"/>
        </w:rPr>
        <w:t>UMBCTube</w:t>
      </w:r>
      <w:proofErr w:type="spellEnd"/>
      <w:r w:rsidRPr="00CB4E37">
        <w:rPr>
          <w:rFonts w:ascii="Helvetica Neue" w:hAnsi="Helvetica Neue" w:cs="Times New Roman"/>
          <w:color w:val="2D3B45"/>
        </w:rPr>
        <w:t xml:space="preserve">. (2008a, April 24). UMBC training forum: Rapid instructional design with </w:t>
      </w:r>
      <w:proofErr w:type="spellStart"/>
      <w:r w:rsidRPr="00CB4E37">
        <w:rPr>
          <w:rFonts w:ascii="Helvetica Neue" w:hAnsi="Helvetica Neue" w:cs="Times New Roman"/>
          <w:color w:val="2D3B45"/>
        </w:rPr>
        <w:t>Thiagi</w:t>
      </w:r>
      <w:proofErr w:type="spellEnd"/>
      <w:r w:rsidRPr="00CB4E37">
        <w:rPr>
          <w:rFonts w:ascii="Helvetica Neue" w:hAnsi="Helvetica Neue" w:cs="Times New Roman"/>
          <w:color w:val="2D3B45"/>
        </w:rPr>
        <w:t>. Retrieved from https://www.youtube.com/watch?v=CYqm8ao1i2c</w:t>
      </w:r>
    </w:p>
    <w:p w14:paraId="50163BFD" w14:textId="77777777" w:rsidR="00BC274B" w:rsidRPr="00CB4E37" w:rsidRDefault="00BC274B" w:rsidP="00BC274B">
      <w:pPr>
        <w:rPr>
          <w:rFonts w:ascii="Helvetica Neue" w:eastAsia="Times New Roman" w:hAnsi="Helvetica Neue" w:cs="Times New Roman"/>
          <w:color w:val="737373"/>
        </w:rPr>
      </w:pPr>
      <w:r w:rsidRPr="00CB4E37">
        <w:rPr>
          <w:rFonts w:ascii="Helvetica Neue" w:eastAsia="Times New Roman" w:hAnsi="Helvetica Neue" w:cs="Times New Roman"/>
          <w:color w:val="737373"/>
        </w:rPr>
        <w:t>Edited by </w:t>
      </w:r>
      <w:hyperlink r:id="rId5" w:history="1">
        <w:r w:rsidRPr="00CB4E37">
          <w:rPr>
            <w:rFonts w:ascii="Helvetica Neue" w:eastAsia="Times New Roman" w:hAnsi="Helvetica Neue" w:cs="Times New Roman"/>
            <w:color w:val="0000FF"/>
          </w:rPr>
          <w:t xml:space="preserve">Domini </w:t>
        </w:r>
        <w:proofErr w:type="spellStart"/>
        <w:r w:rsidRPr="00CB4E37">
          <w:rPr>
            <w:rFonts w:ascii="Helvetica Neue" w:eastAsia="Times New Roman" w:hAnsi="Helvetica Neue" w:cs="Times New Roman"/>
            <w:color w:val="0000FF"/>
          </w:rPr>
          <w:t>Velissaris</w:t>
        </w:r>
        <w:proofErr w:type="spellEnd"/>
      </w:hyperlink>
      <w:r w:rsidRPr="00CB4E37">
        <w:rPr>
          <w:rFonts w:ascii="Helvetica Neue" w:eastAsia="Times New Roman" w:hAnsi="Helvetica Neue" w:cs="Times New Roman"/>
          <w:color w:val="737373"/>
        </w:rPr>
        <w:t> on Sep 29 at 12:27am</w:t>
      </w:r>
    </w:p>
    <w:p w14:paraId="000830A8" w14:textId="77777777" w:rsidR="00BC274B" w:rsidRDefault="00BC274B" w:rsidP="00BC274B"/>
    <w:p w14:paraId="553F450B" w14:textId="77777777" w:rsidR="00BC274B" w:rsidRDefault="00BC274B" w:rsidP="00BC274B"/>
    <w:p w14:paraId="4F798BA8" w14:textId="77777777" w:rsidR="00BC274B" w:rsidRDefault="00BC274B" w:rsidP="002B1B75">
      <w:bookmarkStart w:id="0" w:name="_GoBack"/>
      <w:bookmarkEnd w:id="0"/>
    </w:p>
    <w:p w14:paraId="7FD08392" w14:textId="77777777" w:rsidR="002B1B75" w:rsidRDefault="002B1B75" w:rsidP="002B1B75">
      <w:r>
        <w:t xml:space="preserve">Post 3 </w:t>
      </w:r>
    </w:p>
    <w:p w14:paraId="7D546954" w14:textId="77777777" w:rsidR="002B1B75" w:rsidRDefault="002B1B75" w:rsidP="002B1B75">
      <w:r>
        <w:br w:type="page"/>
      </w:r>
    </w:p>
    <w:p w14:paraId="2A59ADEF" w14:textId="77777777" w:rsidR="002B1B75" w:rsidRPr="004872F7" w:rsidRDefault="002B1B75" w:rsidP="002B1B75">
      <w:pPr>
        <w:spacing w:before="180" w:after="180"/>
        <w:rPr>
          <w:rFonts w:ascii="Helvetica Neue" w:hAnsi="Helvetica Neue" w:cs="Times New Roman"/>
          <w:color w:val="2D3B45"/>
        </w:rPr>
      </w:pPr>
      <w:r w:rsidRPr="004872F7">
        <w:rPr>
          <w:rFonts w:ascii="Helvetica Neue" w:hAnsi="Helvetica Neue" w:cs="Times New Roman"/>
          <w:color w:val="2D3B45"/>
        </w:rPr>
        <w:t>As mentioned previously, my paper revolves around the idea of organizations focusing their philanthropic efforts around the communities they reside in.  One of the many definitions of CSR highlights the fact that businesses are expected to operate in ways that enhance society and the environment, instead of contributing negatively to it (Investopedia). Companies choose to contribute in different ways to accomplish that goal and they do so at their own discretion. Large organizations such as Nike have the capacity to donate vast sums of in the name of CSR how they see fit. From 2012 to 2015, Nike donated $54 million to support communities in Oregon where their headquarters is located. While that level of philanthropy is amazing, I think one solution that could be utilized to ensure maximum effectiveness of those CSR efforts would be to track long term repercussions of their generosity to charities. If the company donates on a one-time basis to an organization to help them fund a new project, what happens if the project collapses after three years when the new money runs out? If the company donates continuously to an organization, I think a level of accountability should be arranged to determine if another type of intervention is needed to help bolster effectiveness with that organization.</w:t>
      </w:r>
    </w:p>
    <w:p w14:paraId="4D726B63" w14:textId="77777777" w:rsidR="002B1B75" w:rsidRPr="004872F7" w:rsidRDefault="002B1B75" w:rsidP="002B1B75">
      <w:pPr>
        <w:spacing w:before="180" w:after="180"/>
        <w:rPr>
          <w:rFonts w:ascii="Helvetica Neue" w:hAnsi="Helvetica Neue" w:cs="Times New Roman"/>
          <w:color w:val="2D3B45"/>
        </w:rPr>
      </w:pPr>
      <w:r w:rsidRPr="004872F7">
        <w:rPr>
          <w:rFonts w:ascii="Helvetica Neue" w:hAnsi="Helvetica Neue" w:cs="Times New Roman"/>
          <w:color w:val="2D3B45"/>
        </w:rPr>
        <w:t>Although it may seem a bit ambiguous, I think another solution would be for the organizations to work with their local governments. Small companies could work with their cities and medium- large organizations could work with their state officials to develop solutions to problems affecting the city. The results of a 2017 study illustrated that 60% of Americans hope that businesses engage in CSR efforts in the absence of government regulation (</w:t>
      </w:r>
      <w:proofErr w:type="spellStart"/>
      <w:r w:rsidRPr="004872F7">
        <w:rPr>
          <w:rFonts w:ascii="Helvetica Neue" w:hAnsi="Helvetica Neue" w:cs="Times New Roman"/>
          <w:color w:val="2D3B45"/>
        </w:rPr>
        <w:t>Caramela</w:t>
      </w:r>
      <w:proofErr w:type="spellEnd"/>
      <w:r w:rsidRPr="004872F7">
        <w:rPr>
          <w:rFonts w:ascii="Helvetica Neue" w:hAnsi="Helvetica Neue" w:cs="Times New Roman"/>
          <w:color w:val="2D3B45"/>
        </w:rPr>
        <w:t>, 2018).  If a company has the resources and desire to invest in its community then it should work with the individuals who can help the company identify where the real need lies. To be clear, I am not suggesting limit CSR efforts solely to the community that a company resides in. I am offering that the efforts be measured and focused on where the real need lies for the organization and the community that it supports can thrive so that future change can compound.</w:t>
      </w:r>
    </w:p>
    <w:p w14:paraId="398E8C55" w14:textId="77777777" w:rsidR="002B1B75" w:rsidRPr="004872F7" w:rsidRDefault="002B1B75" w:rsidP="002B1B75">
      <w:pPr>
        <w:rPr>
          <w:rFonts w:ascii="Times New Roman" w:eastAsia="Times New Roman" w:hAnsi="Times New Roman" w:cs="Times New Roman"/>
        </w:rPr>
      </w:pPr>
    </w:p>
    <w:p w14:paraId="2CAA6AC7" w14:textId="77777777" w:rsidR="002B1B75" w:rsidRDefault="002B1B75" w:rsidP="002B1B75">
      <w:r>
        <w:t xml:space="preserve">Post 4 </w:t>
      </w:r>
    </w:p>
    <w:p w14:paraId="20CF1C3A" w14:textId="77777777" w:rsidR="002B1B75" w:rsidRPr="00E66690" w:rsidRDefault="002B1B75" w:rsidP="002B1B75">
      <w:pPr>
        <w:spacing w:before="180"/>
        <w:rPr>
          <w:rFonts w:ascii="Helvetica Neue" w:hAnsi="Helvetica Neue" w:cs="Times New Roman"/>
          <w:color w:val="2D3B45"/>
        </w:rPr>
      </w:pPr>
      <w:r w:rsidRPr="00E66690">
        <w:rPr>
          <w:rFonts w:ascii="Helvetica Neue" w:hAnsi="Helvetica Neue" w:cs="Times New Roman"/>
          <w:color w:val="2D3B45"/>
        </w:rPr>
        <w:t>Two proposed interventions for my SRAP paper titled </w:t>
      </w:r>
      <w:r w:rsidRPr="00E66690">
        <w:rPr>
          <w:rFonts w:ascii="Helvetica Neue" w:hAnsi="Helvetica Neue" w:cs="Times New Roman"/>
          <w:color w:val="2D3B45"/>
          <w:u w:val="single"/>
        </w:rPr>
        <w:t>The Home-School Connection </w:t>
      </w:r>
      <w:r w:rsidRPr="00E66690">
        <w:rPr>
          <w:rFonts w:ascii="Helvetica Neue" w:hAnsi="Helvetica Neue" w:cs="Times New Roman"/>
          <w:color w:val="2D3B45"/>
        </w:rPr>
        <w:t>are:</w:t>
      </w:r>
    </w:p>
    <w:p w14:paraId="447A9EEF" w14:textId="77777777" w:rsidR="002B1B75" w:rsidRPr="00E66690" w:rsidRDefault="002B1B75" w:rsidP="002B1B75">
      <w:pPr>
        <w:spacing w:before="180" w:after="180"/>
        <w:rPr>
          <w:rFonts w:ascii="Helvetica Neue" w:hAnsi="Helvetica Neue" w:cs="Times New Roman"/>
          <w:color w:val="2D3B45"/>
        </w:rPr>
      </w:pPr>
      <w:r w:rsidRPr="00E66690">
        <w:rPr>
          <w:rFonts w:ascii="Helvetica Neue" w:hAnsi="Helvetica Neue" w:cs="Times New Roman"/>
          <w:color w:val="2D3B45"/>
        </w:rPr>
        <w:t> </w:t>
      </w:r>
    </w:p>
    <w:p w14:paraId="2F3003B4" w14:textId="77777777" w:rsidR="002B1B75" w:rsidRPr="00E66690" w:rsidRDefault="002B1B75" w:rsidP="002B1B75">
      <w:pPr>
        <w:numPr>
          <w:ilvl w:val="0"/>
          <w:numId w:val="1"/>
        </w:numPr>
        <w:spacing w:before="100" w:beforeAutospacing="1"/>
        <w:ind w:left="375"/>
        <w:rPr>
          <w:rFonts w:ascii="Helvetica Neue" w:eastAsia="Times New Roman" w:hAnsi="Helvetica Neue" w:cs="Times New Roman"/>
          <w:color w:val="2D3B45"/>
        </w:rPr>
      </w:pPr>
      <w:r w:rsidRPr="00E66690">
        <w:rPr>
          <w:rFonts w:ascii="Helvetica Neue" w:eastAsia="Times New Roman" w:hAnsi="Helvetica Neue" w:cs="Times New Roman"/>
          <w:color w:val="2D3B45"/>
        </w:rPr>
        <w:t>Teacher Education</w:t>
      </w:r>
    </w:p>
    <w:p w14:paraId="600AD1CD" w14:textId="77777777" w:rsidR="002B1B75" w:rsidRPr="00E66690" w:rsidRDefault="002B1B75" w:rsidP="002B1B75">
      <w:pPr>
        <w:spacing w:before="180" w:after="180"/>
        <w:rPr>
          <w:rFonts w:ascii="Helvetica Neue" w:hAnsi="Helvetica Neue" w:cs="Times New Roman"/>
          <w:color w:val="2D3B45"/>
        </w:rPr>
      </w:pPr>
      <w:r w:rsidRPr="00E66690">
        <w:rPr>
          <w:rFonts w:ascii="Helvetica Neue" w:hAnsi="Helvetica Neue" w:cs="Times New Roman"/>
          <w:color w:val="2D3B45"/>
        </w:rPr>
        <w:t>Teachers must also be taught the best ways to interact with students and families. Commonly, most everyone experiences an element of unintentional or unknown bias. Children and families are increasingly diverse, and ways of communicating are often different than they have been in the past. Teachers must be brought up to date in their communication and teaching styles to meet the needs of our ever-changing society.</w:t>
      </w:r>
    </w:p>
    <w:p w14:paraId="1A1F9545" w14:textId="77777777" w:rsidR="002B1B75" w:rsidRPr="00E66690" w:rsidRDefault="002B1B75" w:rsidP="002B1B75">
      <w:pPr>
        <w:spacing w:before="180" w:after="180"/>
        <w:rPr>
          <w:rFonts w:ascii="Helvetica Neue" w:hAnsi="Helvetica Neue" w:cs="Times New Roman"/>
          <w:color w:val="2D3B45"/>
        </w:rPr>
      </w:pPr>
      <w:r w:rsidRPr="00E66690">
        <w:rPr>
          <w:rFonts w:ascii="Helvetica Neue" w:hAnsi="Helvetica Neue" w:cs="Times New Roman"/>
          <w:color w:val="2D3B45"/>
        </w:rPr>
        <w:t> </w:t>
      </w:r>
    </w:p>
    <w:p w14:paraId="48AE2BD7" w14:textId="77777777" w:rsidR="002B1B75" w:rsidRPr="00E66690" w:rsidRDefault="002B1B75" w:rsidP="002B1B75">
      <w:pPr>
        <w:numPr>
          <w:ilvl w:val="0"/>
          <w:numId w:val="2"/>
        </w:numPr>
        <w:spacing w:before="100" w:beforeAutospacing="1"/>
        <w:ind w:left="375"/>
        <w:rPr>
          <w:rFonts w:ascii="Helvetica Neue" w:eastAsia="Times New Roman" w:hAnsi="Helvetica Neue" w:cs="Times New Roman"/>
          <w:color w:val="2D3B45"/>
        </w:rPr>
      </w:pPr>
      <w:r w:rsidRPr="00E66690">
        <w:rPr>
          <w:rFonts w:ascii="Helvetica Neue" w:eastAsia="Times New Roman" w:hAnsi="Helvetica Neue" w:cs="Times New Roman"/>
          <w:color w:val="2D3B45"/>
        </w:rPr>
        <w:t>Further Diversify Schools so children and families feel welcome, safe and comfortable communicating</w:t>
      </w:r>
    </w:p>
    <w:p w14:paraId="5CD4C4A6" w14:textId="77777777" w:rsidR="002B1B75" w:rsidRPr="00E66690" w:rsidRDefault="002B1B75" w:rsidP="002B1B75">
      <w:pPr>
        <w:spacing w:before="180" w:after="180"/>
        <w:rPr>
          <w:rFonts w:ascii="Helvetica Neue" w:hAnsi="Helvetica Neue" w:cs="Times New Roman"/>
          <w:color w:val="2D3B45"/>
        </w:rPr>
      </w:pPr>
      <w:r w:rsidRPr="00E66690">
        <w:rPr>
          <w:rFonts w:ascii="Helvetica Neue" w:hAnsi="Helvetica Neue" w:cs="Times New Roman"/>
          <w:color w:val="2D3B45"/>
        </w:rPr>
        <w:t>Many U.S. schools have low ratios of teachers of the same race and may not speak the same language as the students and families they serve. Many students enter schools where the leadership is either a different nationality or a different race than the families who attend their school. In addition, it is common that teachers are not from the same areas where they teach. For example, a suburban Caucasian may have a hard time relating to the difficulties of a low income, inner-city African American. Families observe the differences and may have unknown biases as well. A teacher in this situation most likely is unable to understand the trauma and stress the family or child experiences daily.  </w:t>
      </w:r>
    </w:p>
    <w:p w14:paraId="21D6C00F" w14:textId="77777777" w:rsidR="00E66690" w:rsidRPr="002B1B75" w:rsidRDefault="00E66690" w:rsidP="002B1B75"/>
    <w:sectPr w:rsidR="00E66690" w:rsidRPr="002B1B75" w:rsidSect="00DD4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C0889"/>
    <w:multiLevelType w:val="multilevel"/>
    <w:tmpl w:val="50B6E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2A4E47"/>
    <w:multiLevelType w:val="multilevel"/>
    <w:tmpl w:val="6562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E37"/>
    <w:rsid w:val="002B1B75"/>
    <w:rsid w:val="004872F7"/>
    <w:rsid w:val="00494E1B"/>
    <w:rsid w:val="00BC274B"/>
    <w:rsid w:val="00CB4E37"/>
    <w:rsid w:val="00DD48FF"/>
    <w:rsid w:val="00E3239D"/>
    <w:rsid w:val="00E66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8E0BF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B1B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4E37"/>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CB4E37"/>
  </w:style>
  <w:style w:type="character" w:styleId="Hyperlink">
    <w:name w:val="Hyperlink"/>
    <w:basedOn w:val="DefaultParagraphFont"/>
    <w:uiPriority w:val="99"/>
    <w:semiHidden/>
    <w:unhideWhenUsed/>
    <w:rsid w:val="00CB4E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905691">
      <w:bodyDiv w:val="1"/>
      <w:marLeft w:val="0"/>
      <w:marRight w:val="0"/>
      <w:marTop w:val="0"/>
      <w:marBottom w:val="0"/>
      <w:divBdr>
        <w:top w:val="none" w:sz="0" w:space="0" w:color="auto"/>
        <w:left w:val="none" w:sz="0" w:space="0" w:color="auto"/>
        <w:bottom w:val="none" w:sz="0" w:space="0" w:color="auto"/>
        <w:right w:val="none" w:sz="0" w:space="0" w:color="auto"/>
      </w:divBdr>
    </w:div>
    <w:div w:id="654145397">
      <w:bodyDiv w:val="1"/>
      <w:marLeft w:val="0"/>
      <w:marRight w:val="0"/>
      <w:marTop w:val="0"/>
      <w:marBottom w:val="0"/>
      <w:divBdr>
        <w:top w:val="none" w:sz="0" w:space="0" w:color="auto"/>
        <w:left w:val="none" w:sz="0" w:space="0" w:color="auto"/>
        <w:bottom w:val="none" w:sz="0" w:space="0" w:color="auto"/>
        <w:right w:val="none" w:sz="0" w:space="0" w:color="auto"/>
      </w:divBdr>
    </w:div>
    <w:div w:id="900020910">
      <w:bodyDiv w:val="1"/>
      <w:marLeft w:val="0"/>
      <w:marRight w:val="0"/>
      <w:marTop w:val="0"/>
      <w:marBottom w:val="0"/>
      <w:divBdr>
        <w:top w:val="none" w:sz="0" w:space="0" w:color="auto"/>
        <w:left w:val="none" w:sz="0" w:space="0" w:color="auto"/>
        <w:bottom w:val="none" w:sz="0" w:space="0" w:color="auto"/>
        <w:right w:val="none" w:sz="0" w:space="0" w:color="auto"/>
      </w:divBdr>
    </w:div>
    <w:div w:id="17228300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adler.instructure.com/courses/6571/users/1116"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6098</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FERNANDEZ</dc:creator>
  <cp:keywords/>
  <dc:description/>
  <cp:lastModifiedBy>Raymond FERNANDEZ</cp:lastModifiedBy>
  <cp:revision>2</cp:revision>
  <dcterms:created xsi:type="dcterms:W3CDTF">2018-10-02T00:16:00Z</dcterms:created>
  <dcterms:modified xsi:type="dcterms:W3CDTF">2018-10-02T00:16:00Z</dcterms:modified>
</cp:coreProperties>
</file>