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9ABF1B" w14:textId="77777777" w:rsidR="00B10FCE" w:rsidRPr="00315A75" w:rsidRDefault="00B10FCE">
      <w:pPr>
        <w:rPr>
          <w:rFonts w:ascii="Times New Roman" w:hAnsi="Times New Roman" w:cs="Times New Roman"/>
          <w:b/>
          <w:sz w:val="24"/>
          <w:szCs w:val="24"/>
        </w:rPr>
      </w:pPr>
      <w:r w:rsidRPr="00315A75">
        <w:rPr>
          <w:rFonts w:ascii="Times New Roman" w:hAnsi="Times New Roman" w:cs="Times New Roman"/>
          <w:b/>
          <w:sz w:val="24"/>
          <w:szCs w:val="24"/>
        </w:rPr>
        <w:t>Immunofluorescence Assay</w:t>
      </w:r>
    </w:p>
    <w:p w14:paraId="67A23E9B" w14:textId="77777777" w:rsidR="00B10FCE" w:rsidRPr="00315A75" w:rsidRDefault="00B10FCE">
      <w:pPr>
        <w:rPr>
          <w:rFonts w:ascii="Times New Roman" w:hAnsi="Times New Roman" w:cs="Times New Roman"/>
          <w:sz w:val="24"/>
          <w:szCs w:val="24"/>
        </w:rPr>
      </w:pPr>
    </w:p>
    <w:p w14:paraId="5648AB4E" w14:textId="77777777" w:rsidR="00315A75" w:rsidRPr="00315A75" w:rsidRDefault="00315A75" w:rsidP="00315A75">
      <w:pPr>
        <w:rPr>
          <w:rFonts w:ascii="Times New Roman" w:hAnsi="Times New Roman" w:cs="Times New Roman"/>
          <w:sz w:val="24"/>
          <w:szCs w:val="24"/>
        </w:rPr>
      </w:pPr>
      <w:r w:rsidRPr="00315A75">
        <w:rPr>
          <w:rFonts w:ascii="Times New Roman" w:hAnsi="Times New Roman" w:cs="Times New Roman"/>
          <w:sz w:val="24"/>
          <w:szCs w:val="24"/>
        </w:rPr>
        <w:t xml:space="preserve">Immunofluorescence is a histochemical laboratory staining technique used for demonstrating the presence of antibodies bound to antigens in tissues or circulating body fluids. These techniques are essential to supplement clinical findings and histopathology in the diagnosis of </w:t>
      </w:r>
      <w:proofErr w:type="spellStart"/>
      <w:r w:rsidRPr="00315A75">
        <w:rPr>
          <w:rFonts w:ascii="Times New Roman" w:hAnsi="Times New Roman" w:cs="Times New Roman"/>
          <w:sz w:val="24"/>
          <w:szCs w:val="24"/>
        </w:rPr>
        <w:t>immunobullous</w:t>
      </w:r>
      <w:proofErr w:type="spellEnd"/>
      <w:r w:rsidRPr="00315A75">
        <w:rPr>
          <w:rFonts w:ascii="Times New Roman" w:hAnsi="Times New Roman" w:cs="Times New Roman"/>
          <w:sz w:val="24"/>
          <w:szCs w:val="24"/>
        </w:rPr>
        <w:t xml:space="preserve"> disorders. They permit early diagnosis, treatment, and subsequent monitoring of disease activity in patients with these potentially life-threatening disorders. </w:t>
      </w:r>
      <w:r w:rsidRPr="00315A75">
        <w:rPr>
          <w:rFonts w:ascii="Times New Roman" w:hAnsi="Times New Roman" w:cs="Times New Roman"/>
          <w:sz w:val="24"/>
          <w:szCs w:val="24"/>
        </w:rPr>
        <w:br/>
      </w:r>
      <w:r w:rsidRPr="00315A75">
        <w:rPr>
          <w:rFonts w:ascii="Times New Roman" w:hAnsi="Times New Roman" w:cs="Times New Roman"/>
          <w:sz w:val="24"/>
          <w:szCs w:val="24"/>
        </w:rPr>
        <w:br/>
        <w:t xml:space="preserve">In 1941, Coons </w:t>
      </w:r>
      <w:r w:rsidRPr="00315A75">
        <w:rPr>
          <w:rFonts w:ascii="Times New Roman" w:hAnsi="Times New Roman" w:cs="Times New Roman"/>
          <w:i/>
          <w:iCs/>
          <w:sz w:val="24"/>
          <w:szCs w:val="24"/>
        </w:rPr>
        <w:t xml:space="preserve">et al, </w:t>
      </w:r>
      <w:r w:rsidRPr="00315A75">
        <w:rPr>
          <w:rFonts w:ascii="Times New Roman" w:hAnsi="Times New Roman" w:cs="Times New Roman"/>
          <w:sz w:val="24"/>
          <w:szCs w:val="24"/>
        </w:rPr>
        <w:t xml:space="preserve">developed the technique of immunofluorescence. Subsequently, granular deposits of IgG and C3 were first described along the dermo-epidermal junction in lesions of lupus erythematosus in 1963. In 1964, </w:t>
      </w:r>
      <w:proofErr w:type="spellStart"/>
      <w:r w:rsidRPr="00315A75">
        <w:rPr>
          <w:rFonts w:ascii="Times New Roman" w:hAnsi="Times New Roman" w:cs="Times New Roman"/>
          <w:sz w:val="24"/>
          <w:szCs w:val="24"/>
        </w:rPr>
        <w:t>Beutner</w:t>
      </w:r>
      <w:proofErr w:type="spellEnd"/>
      <w:r w:rsidRPr="00315A75">
        <w:rPr>
          <w:rFonts w:ascii="Times New Roman" w:hAnsi="Times New Roman" w:cs="Times New Roman"/>
          <w:sz w:val="24"/>
          <w:szCs w:val="24"/>
        </w:rPr>
        <w:t xml:space="preserve"> and Jordon used the indirect immunofluorescence (IIF) technique to demonstrate antibodies in the sera of pemphigus patients. </w:t>
      </w:r>
    </w:p>
    <w:p w14:paraId="3CE0B7DD" w14:textId="77777777" w:rsidR="00315A75" w:rsidRPr="00315A75" w:rsidRDefault="00315A75" w:rsidP="00315A75">
      <w:pPr>
        <w:rPr>
          <w:rFonts w:ascii="Times New Roman" w:hAnsi="Times New Roman" w:cs="Times New Roman"/>
          <w:sz w:val="24"/>
          <w:szCs w:val="24"/>
        </w:rPr>
      </w:pPr>
    </w:p>
    <w:p w14:paraId="13FA5BAD" w14:textId="77777777" w:rsidR="00315A75" w:rsidRPr="00315A75" w:rsidRDefault="00315A75" w:rsidP="00315A75">
      <w:pPr>
        <w:rPr>
          <w:rFonts w:ascii="Times New Roman" w:hAnsi="Times New Roman" w:cs="Times New Roman"/>
          <w:sz w:val="24"/>
          <w:szCs w:val="24"/>
        </w:rPr>
      </w:pPr>
      <w:r w:rsidRPr="00315A75">
        <w:rPr>
          <w:rFonts w:ascii="Times New Roman" w:hAnsi="Times New Roman" w:cs="Times New Roman"/>
          <w:sz w:val="24"/>
          <w:szCs w:val="24"/>
        </w:rPr>
        <w:t>Fluorescent techniques involve the emission of light of one color/wavelength and a low energy level from a substance being irradiated with light of a different wavelength. Fluorescein isothiocyanate (FITC) and tetramethyl rhodamine isothiocyanate (TRITC) are two routinely used fluorochromes. The antibody is linked with fluorescein isothiocyanate (FITC) via a thiocarbamide linkage without destroying its capacity to react with the corresponding antigen.</w:t>
      </w:r>
    </w:p>
    <w:p w14:paraId="069BACC8" w14:textId="77777777" w:rsidR="00315A75" w:rsidRPr="00315A75" w:rsidRDefault="00315A75" w:rsidP="00315A75">
      <w:pPr>
        <w:rPr>
          <w:rFonts w:ascii="Times New Roman" w:eastAsia="Times New Roman" w:hAnsi="Times New Roman" w:cs="Times New Roman"/>
          <w:sz w:val="24"/>
          <w:szCs w:val="24"/>
        </w:rPr>
      </w:pPr>
    </w:p>
    <w:p w14:paraId="1D401939" w14:textId="77777777" w:rsidR="00315A75" w:rsidRPr="00315A75" w:rsidRDefault="00315A75" w:rsidP="00315A75">
      <w:pPr>
        <w:rPr>
          <w:rFonts w:ascii="Times New Roman" w:eastAsia="Times New Roman" w:hAnsi="Times New Roman" w:cs="Times New Roman"/>
          <w:sz w:val="24"/>
          <w:szCs w:val="24"/>
        </w:rPr>
      </w:pPr>
      <w:r w:rsidRPr="00315A75">
        <w:rPr>
          <w:rFonts w:ascii="Times New Roman" w:hAnsi="Times New Roman" w:cs="Times New Roman"/>
          <w:sz w:val="24"/>
          <w:szCs w:val="24"/>
        </w:rPr>
        <w:t>In clinical immunology, there are three basic types of immunofluorescence techniques: direct immunofluorescence (DIF), indirect immunofluorescence (IIF)</w:t>
      </w:r>
      <w:r>
        <w:rPr>
          <w:rFonts w:ascii="Times New Roman" w:hAnsi="Times New Roman" w:cs="Times New Roman"/>
          <w:sz w:val="24"/>
          <w:szCs w:val="24"/>
        </w:rPr>
        <w:t>,</w:t>
      </w:r>
      <w:r w:rsidRPr="00315A75">
        <w:rPr>
          <w:rFonts w:ascii="Times New Roman" w:hAnsi="Times New Roman" w:cs="Times New Roman"/>
          <w:sz w:val="24"/>
          <w:szCs w:val="24"/>
        </w:rPr>
        <w:t xml:space="preserve"> and complement binding indirect immunofluorescence.</w:t>
      </w:r>
      <w:r w:rsidRPr="00315A75">
        <w:rPr>
          <w:rFonts w:ascii="Times New Roman" w:hAnsi="Times New Roman" w:cs="Times New Roman"/>
          <w:sz w:val="24"/>
          <w:szCs w:val="24"/>
          <w:vertAlign w:val="superscript"/>
        </w:rPr>
        <w:t xml:space="preserve"> </w:t>
      </w:r>
      <w:r w:rsidRPr="00315A75">
        <w:rPr>
          <w:rFonts w:ascii="Times New Roman" w:hAnsi="Times New Roman" w:cs="Times New Roman"/>
          <w:sz w:val="24"/>
          <w:szCs w:val="24"/>
        </w:rPr>
        <w:t>All these methods entail the use of fluorescein-linked</w:t>
      </w:r>
      <w:r>
        <w:rPr>
          <w:rFonts w:ascii="Times New Roman" w:hAnsi="Times New Roman" w:cs="Times New Roman"/>
          <w:sz w:val="24"/>
          <w:szCs w:val="24"/>
        </w:rPr>
        <w:t xml:space="preserve"> antibodies to immunoglobulins, complement-</w:t>
      </w:r>
      <w:r w:rsidRPr="00315A75">
        <w:rPr>
          <w:rFonts w:ascii="Times New Roman" w:hAnsi="Times New Roman" w:cs="Times New Roman"/>
          <w:sz w:val="24"/>
          <w:szCs w:val="24"/>
        </w:rPr>
        <w:t>components, or other proteins.</w:t>
      </w:r>
      <w:r w:rsidRPr="00315A75">
        <w:rPr>
          <w:rFonts w:ascii="Times New Roman" w:hAnsi="Times New Roman" w:cs="Times New Roman"/>
          <w:sz w:val="24"/>
          <w:szCs w:val="24"/>
        </w:rPr>
        <w:br/>
      </w:r>
    </w:p>
    <w:tbl>
      <w:tblPr>
        <w:tblW w:w="5000" w:type="pct"/>
        <w:tblCellSpacing w:w="0" w:type="dxa"/>
        <w:tblCellMar>
          <w:left w:w="0" w:type="dxa"/>
          <w:right w:w="0" w:type="dxa"/>
        </w:tblCellMar>
        <w:tblLook w:val="04A0" w:firstRow="1" w:lastRow="0" w:firstColumn="1" w:lastColumn="0" w:noHBand="0" w:noVBand="1"/>
      </w:tblPr>
      <w:tblGrid>
        <w:gridCol w:w="7813"/>
        <w:gridCol w:w="143"/>
        <w:gridCol w:w="1404"/>
      </w:tblGrid>
      <w:tr w:rsidR="00315A75" w:rsidRPr="00315A75" w14:paraId="70135606" w14:textId="77777777" w:rsidTr="00315A75">
        <w:trPr>
          <w:tblCellSpacing w:w="0" w:type="dxa"/>
        </w:trPr>
        <w:tc>
          <w:tcPr>
            <w:tcW w:w="0" w:type="auto"/>
            <w:vAlign w:val="center"/>
            <w:hideMark/>
          </w:tcPr>
          <w:p w14:paraId="3F146BC2" w14:textId="77777777" w:rsidR="00315A75" w:rsidRPr="00315A75" w:rsidRDefault="00315A75" w:rsidP="00315A75">
            <w:pPr>
              <w:rPr>
                <w:rFonts w:ascii="Times New Roman" w:eastAsia="Times New Roman" w:hAnsi="Times New Roman" w:cs="Times New Roman"/>
                <w:sz w:val="24"/>
                <w:szCs w:val="24"/>
              </w:rPr>
            </w:pPr>
            <w:bookmarkStart w:id="0" w:name="Direct_Immunofluorescense"/>
            <w:bookmarkEnd w:id="0"/>
            <w:r w:rsidRPr="00315A75">
              <w:rPr>
                <w:rFonts w:ascii="Times New Roman" w:eastAsia="Times New Roman" w:hAnsi="Times New Roman" w:cs="Times New Roman"/>
                <w:sz w:val="24"/>
                <w:szCs w:val="24"/>
              </w:rPr>
              <w:t xml:space="preserve">Direct </w:t>
            </w:r>
            <w:proofErr w:type="spellStart"/>
            <w:r w:rsidRPr="00315A75">
              <w:rPr>
                <w:rFonts w:ascii="Times New Roman" w:eastAsia="Times New Roman" w:hAnsi="Times New Roman" w:cs="Times New Roman"/>
                <w:sz w:val="24"/>
                <w:szCs w:val="24"/>
              </w:rPr>
              <w:t>Immunofluorescense</w:t>
            </w:r>
            <w:proofErr w:type="spellEnd"/>
            <w:r>
              <w:rPr>
                <w:rFonts w:ascii="Times New Roman" w:eastAsia="Times New Roman" w:hAnsi="Times New Roman" w:cs="Times New Roman"/>
                <w:sz w:val="24"/>
                <w:szCs w:val="24"/>
              </w:rPr>
              <w:t xml:space="preserve"> (DIF)</w:t>
            </w:r>
          </w:p>
        </w:tc>
        <w:tc>
          <w:tcPr>
            <w:tcW w:w="0" w:type="auto"/>
            <w:vAlign w:val="center"/>
            <w:hideMark/>
          </w:tcPr>
          <w:p w14:paraId="0D76D955" w14:textId="77777777" w:rsidR="00315A75" w:rsidRPr="00315A75" w:rsidRDefault="00315A75" w:rsidP="00315A75">
            <w:pPr>
              <w:jc w:val="right"/>
              <w:rPr>
                <w:rFonts w:ascii="Times New Roman" w:eastAsia="Times New Roman" w:hAnsi="Times New Roman" w:cs="Times New Roman"/>
                <w:sz w:val="24"/>
                <w:szCs w:val="24"/>
              </w:rPr>
            </w:pPr>
            <w:r w:rsidRPr="00315A75">
              <w:rPr>
                <w:rFonts w:ascii="Times New Roman" w:eastAsia="Times New Roman" w:hAnsi="Times New Roman" w:cs="Times New Roman"/>
                <w:sz w:val="24"/>
                <w:szCs w:val="24"/>
              </w:rPr>
              <w:t> </w:t>
            </w:r>
          </w:p>
        </w:tc>
        <w:tc>
          <w:tcPr>
            <w:tcW w:w="750" w:type="pct"/>
            <w:vAlign w:val="center"/>
            <w:hideMark/>
          </w:tcPr>
          <w:p w14:paraId="237C3BEA" w14:textId="77777777" w:rsidR="00315A75" w:rsidRPr="00315A75" w:rsidRDefault="00315A75" w:rsidP="00315A75">
            <w:pPr>
              <w:jc w:val="right"/>
              <w:rPr>
                <w:rFonts w:ascii="Times New Roman" w:eastAsia="Times New Roman" w:hAnsi="Times New Roman" w:cs="Times New Roman"/>
                <w:sz w:val="24"/>
                <w:szCs w:val="24"/>
              </w:rPr>
            </w:pPr>
          </w:p>
        </w:tc>
      </w:tr>
    </w:tbl>
    <w:p w14:paraId="30D8121A" w14:textId="77777777" w:rsidR="00315A75" w:rsidRPr="00315A75" w:rsidRDefault="00315A75" w:rsidP="00315A75">
      <w:pPr>
        <w:spacing w:after="240"/>
        <w:rPr>
          <w:rFonts w:ascii="Times New Roman" w:eastAsia="Times New Roman" w:hAnsi="Times New Roman" w:cs="Times New Roman"/>
          <w:sz w:val="24"/>
          <w:szCs w:val="24"/>
        </w:rPr>
      </w:pPr>
      <w:r w:rsidRPr="00315A75">
        <w:rPr>
          <w:rFonts w:ascii="Times New Roman" w:eastAsia="Times New Roman" w:hAnsi="Times New Roman" w:cs="Times New Roman"/>
          <w:sz w:val="24"/>
          <w:szCs w:val="24"/>
        </w:rPr>
        <w:t xml:space="preserve">This is a one-step histological staining procedure for identifying </w:t>
      </w:r>
      <w:r w:rsidRPr="00315A75">
        <w:rPr>
          <w:rFonts w:ascii="Times New Roman" w:eastAsia="Times New Roman" w:hAnsi="Times New Roman" w:cs="Times New Roman"/>
          <w:i/>
          <w:iCs/>
          <w:sz w:val="24"/>
          <w:szCs w:val="24"/>
        </w:rPr>
        <w:t>in vivo</w:t>
      </w:r>
      <w:r w:rsidRPr="00315A75">
        <w:rPr>
          <w:rFonts w:ascii="Times New Roman" w:eastAsia="Times New Roman" w:hAnsi="Times New Roman" w:cs="Times New Roman"/>
          <w:sz w:val="24"/>
          <w:szCs w:val="24"/>
        </w:rPr>
        <w:t xml:space="preserve"> antibodies that are bound to tissue antigens</w:t>
      </w:r>
      <w:bookmarkStart w:id="1" w:name="ft1"/>
      <w:bookmarkStart w:id="2" w:name="ft2"/>
      <w:r>
        <w:rPr>
          <w:rFonts w:ascii="Times New Roman" w:eastAsia="Times New Roman" w:hAnsi="Times New Roman" w:cs="Times New Roman"/>
          <w:sz w:val="24"/>
          <w:szCs w:val="24"/>
        </w:rPr>
        <w:t>.</w:t>
      </w:r>
      <w:r w:rsidRPr="00315A75">
        <w:rPr>
          <w:rFonts w:ascii="Times New Roman" w:eastAsia="Times New Roman" w:hAnsi="Times New Roman" w:cs="Times New Roman"/>
          <w:sz w:val="24"/>
          <w:szCs w:val="24"/>
        </w:rPr>
        <w:t xml:space="preserve"> The procedure entails the following steps:</w:t>
      </w:r>
    </w:p>
    <w:p w14:paraId="6C3B34E7" w14:textId="77777777" w:rsidR="00315A75" w:rsidRPr="00315A75" w:rsidRDefault="00315A75" w:rsidP="00315A75">
      <w:pPr>
        <w:numPr>
          <w:ilvl w:val="0"/>
          <w:numId w:val="2"/>
        </w:numPr>
        <w:spacing w:before="100" w:beforeAutospacing="1" w:after="100" w:afterAutospacing="1"/>
        <w:rPr>
          <w:rFonts w:ascii="Times New Roman" w:eastAsia="Times New Roman" w:hAnsi="Times New Roman" w:cs="Times New Roman"/>
          <w:sz w:val="24"/>
          <w:szCs w:val="24"/>
        </w:rPr>
      </w:pPr>
      <w:r w:rsidRPr="00315A75">
        <w:rPr>
          <w:rFonts w:ascii="Times New Roman" w:eastAsia="Times New Roman" w:hAnsi="Times New Roman" w:cs="Times New Roman"/>
          <w:sz w:val="24"/>
          <w:szCs w:val="24"/>
        </w:rPr>
        <w:t>Biopsy specimens are snap frozen</w:t>
      </w:r>
      <w:r w:rsidRPr="00315A75">
        <w:rPr>
          <w:rFonts w:ascii="Times New Roman" w:eastAsia="Times New Roman" w:hAnsi="Times New Roman" w:cs="Times New Roman"/>
          <w:b/>
          <w:bCs/>
          <w:sz w:val="24"/>
          <w:szCs w:val="24"/>
        </w:rPr>
        <w:t xml:space="preserve">. </w:t>
      </w:r>
      <w:r w:rsidRPr="00315A75">
        <w:rPr>
          <w:rFonts w:ascii="Times New Roman" w:eastAsia="Times New Roman" w:hAnsi="Times New Roman" w:cs="Times New Roman"/>
          <w:sz w:val="24"/>
          <w:szCs w:val="24"/>
        </w:rPr>
        <w:t xml:space="preserve">If there is a delay between biopsy and snap freezing, the specimen should be kept in cold saline. </w:t>
      </w:r>
    </w:p>
    <w:p w14:paraId="36696A5E" w14:textId="77777777" w:rsidR="00315A75" w:rsidRPr="00315A75" w:rsidRDefault="00315A75" w:rsidP="00315A75">
      <w:pPr>
        <w:numPr>
          <w:ilvl w:val="0"/>
          <w:numId w:val="2"/>
        </w:numPr>
        <w:spacing w:before="100" w:beforeAutospacing="1" w:after="100" w:afterAutospacing="1"/>
        <w:rPr>
          <w:rFonts w:ascii="Times New Roman" w:eastAsia="Times New Roman" w:hAnsi="Times New Roman" w:cs="Times New Roman"/>
          <w:sz w:val="24"/>
          <w:szCs w:val="24"/>
        </w:rPr>
      </w:pPr>
      <w:r w:rsidRPr="00315A75">
        <w:rPr>
          <w:rFonts w:ascii="Times New Roman" w:eastAsia="Times New Roman" w:hAnsi="Times New Roman" w:cs="Times New Roman"/>
          <w:sz w:val="24"/>
          <w:szCs w:val="24"/>
        </w:rPr>
        <w:t>Frozen 4-6μ sections are cut on a cryostat and placed on a glass slide before being air-dried for 15 minutes.</w:t>
      </w:r>
    </w:p>
    <w:p w14:paraId="05227A15" w14:textId="77777777" w:rsidR="00315A75" w:rsidRPr="00315A75" w:rsidRDefault="00315A75" w:rsidP="00315A75">
      <w:pPr>
        <w:numPr>
          <w:ilvl w:val="0"/>
          <w:numId w:val="2"/>
        </w:numPr>
        <w:spacing w:before="100" w:beforeAutospacing="1" w:after="100" w:afterAutospacing="1"/>
        <w:rPr>
          <w:rFonts w:ascii="Times New Roman" w:eastAsia="Times New Roman" w:hAnsi="Times New Roman" w:cs="Times New Roman"/>
          <w:sz w:val="24"/>
          <w:szCs w:val="24"/>
        </w:rPr>
      </w:pPr>
      <w:r w:rsidRPr="00315A75">
        <w:rPr>
          <w:rFonts w:ascii="Times New Roman" w:eastAsia="Times New Roman" w:hAnsi="Times New Roman" w:cs="Times New Roman"/>
          <w:sz w:val="24"/>
          <w:szCs w:val="24"/>
        </w:rPr>
        <w:t xml:space="preserve">After rinsing in phosphate buffered saline (PBS), pH 7.2, slides are overlaid in a moist chamber with FITC conjugates with the following specificities: </w:t>
      </w:r>
      <w:proofErr w:type="spellStart"/>
      <w:r w:rsidRPr="00315A75">
        <w:rPr>
          <w:rFonts w:ascii="Times New Roman" w:eastAsia="Times New Roman" w:hAnsi="Times New Roman" w:cs="Times New Roman"/>
          <w:sz w:val="24"/>
          <w:szCs w:val="24"/>
        </w:rPr>
        <w:t>antiIgG</w:t>
      </w:r>
      <w:proofErr w:type="spellEnd"/>
      <w:r w:rsidRPr="00315A75">
        <w:rPr>
          <w:rFonts w:ascii="Times New Roman" w:eastAsia="Times New Roman" w:hAnsi="Times New Roman" w:cs="Times New Roman"/>
          <w:sz w:val="24"/>
          <w:szCs w:val="24"/>
        </w:rPr>
        <w:t xml:space="preserve">, </w:t>
      </w:r>
      <w:proofErr w:type="spellStart"/>
      <w:r w:rsidRPr="00315A75">
        <w:rPr>
          <w:rFonts w:ascii="Times New Roman" w:eastAsia="Times New Roman" w:hAnsi="Times New Roman" w:cs="Times New Roman"/>
          <w:sz w:val="24"/>
          <w:szCs w:val="24"/>
        </w:rPr>
        <w:t>antiIgM</w:t>
      </w:r>
      <w:proofErr w:type="spellEnd"/>
      <w:r w:rsidRPr="00315A75">
        <w:rPr>
          <w:rFonts w:ascii="Times New Roman" w:eastAsia="Times New Roman" w:hAnsi="Times New Roman" w:cs="Times New Roman"/>
          <w:sz w:val="24"/>
          <w:szCs w:val="24"/>
        </w:rPr>
        <w:t xml:space="preserve">, </w:t>
      </w:r>
      <w:proofErr w:type="spellStart"/>
      <w:r w:rsidRPr="00315A75">
        <w:rPr>
          <w:rFonts w:ascii="Times New Roman" w:eastAsia="Times New Roman" w:hAnsi="Times New Roman" w:cs="Times New Roman"/>
          <w:sz w:val="24"/>
          <w:szCs w:val="24"/>
        </w:rPr>
        <w:t>antiIgA</w:t>
      </w:r>
      <w:proofErr w:type="spellEnd"/>
      <w:r w:rsidRPr="00315A75">
        <w:rPr>
          <w:rFonts w:ascii="Times New Roman" w:eastAsia="Times New Roman" w:hAnsi="Times New Roman" w:cs="Times New Roman"/>
          <w:sz w:val="24"/>
          <w:szCs w:val="24"/>
        </w:rPr>
        <w:t xml:space="preserve">, antiC3, and </w:t>
      </w:r>
      <w:proofErr w:type="spellStart"/>
      <w:r w:rsidRPr="00315A75">
        <w:rPr>
          <w:rFonts w:ascii="Times New Roman" w:eastAsia="Times New Roman" w:hAnsi="Times New Roman" w:cs="Times New Roman"/>
          <w:sz w:val="24"/>
          <w:szCs w:val="24"/>
        </w:rPr>
        <w:t>antifibrin</w:t>
      </w:r>
      <w:proofErr w:type="spellEnd"/>
      <w:r w:rsidRPr="00315A75">
        <w:rPr>
          <w:rFonts w:ascii="Times New Roman" w:eastAsia="Times New Roman" w:hAnsi="Times New Roman" w:cs="Times New Roman"/>
          <w:sz w:val="24"/>
          <w:szCs w:val="24"/>
        </w:rPr>
        <w:t>. Each reagent is tested on a separate slide.</w:t>
      </w:r>
    </w:p>
    <w:p w14:paraId="16B23A9E" w14:textId="77777777" w:rsidR="00315A75" w:rsidRPr="00315A75" w:rsidRDefault="00315A75" w:rsidP="00315A75">
      <w:pPr>
        <w:numPr>
          <w:ilvl w:val="0"/>
          <w:numId w:val="2"/>
        </w:numPr>
        <w:spacing w:before="100" w:beforeAutospacing="1" w:after="100" w:afterAutospacing="1"/>
        <w:rPr>
          <w:rFonts w:ascii="Times New Roman" w:eastAsia="Times New Roman" w:hAnsi="Times New Roman" w:cs="Times New Roman"/>
          <w:sz w:val="24"/>
          <w:szCs w:val="24"/>
        </w:rPr>
      </w:pPr>
      <w:r w:rsidRPr="00315A75">
        <w:rPr>
          <w:rFonts w:ascii="Times New Roman" w:eastAsia="Times New Roman" w:hAnsi="Times New Roman" w:cs="Times New Roman"/>
          <w:sz w:val="24"/>
          <w:szCs w:val="24"/>
        </w:rPr>
        <w:t>After rinsing in PBS, slides are mounted in buffered glycerin and examined under a fluorescence microscope.</w:t>
      </w:r>
    </w:p>
    <w:tbl>
      <w:tblPr>
        <w:tblW w:w="5000" w:type="pct"/>
        <w:tblCellSpacing w:w="0" w:type="dxa"/>
        <w:tblCellMar>
          <w:left w:w="0" w:type="dxa"/>
          <w:right w:w="0" w:type="dxa"/>
        </w:tblCellMar>
        <w:tblLook w:val="04A0" w:firstRow="1" w:lastRow="0" w:firstColumn="1" w:lastColumn="0" w:noHBand="0" w:noVBand="1"/>
      </w:tblPr>
      <w:tblGrid>
        <w:gridCol w:w="7816"/>
        <w:gridCol w:w="140"/>
        <w:gridCol w:w="1404"/>
      </w:tblGrid>
      <w:tr w:rsidR="00315A75" w:rsidRPr="00315A75" w14:paraId="2C0F8220" w14:textId="77777777" w:rsidTr="00315A75">
        <w:trPr>
          <w:tblCellSpacing w:w="0" w:type="dxa"/>
        </w:trPr>
        <w:tc>
          <w:tcPr>
            <w:tcW w:w="0" w:type="auto"/>
            <w:vAlign w:val="center"/>
            <w:hideMark/>
          </w:tcPr>
          <w:p w14:paraId="4E7F81B6" w14:textId="77777777" w:rsidR="00315A75" w:rsidRPr="00315A75" w:rsidRDefault="00315A75" w:rsidP="00315A75">
            <w:pPr>
              <w:rPr>
                <w:rFonts w:ascii="Times New Roman" w:eastAsia="Times New Roman" w:hAnsi="Times New Roman" w:cs="Times New Roman"/>
                <w:sz w:val="24"/>
                <w:szCs w:val="24"/>
              </w:rPr>
            </w:pPr>
            <w:bookmarkStart w:id="3" w:name="Indirect_Immunofluorescence"/>
            <w:bookmarkEnd w:id="3"/>
            <w:r w:rsidRPr="00315A75">
              <w:rPr>
                <w:rFonts w:ascii="Times New Roman" w:eastAsia="Times New Roman" w:hAnsi="Times New Roman" w:cs="Times New Roman"/>
                <w:sz w:val="24"/>
                <w:szCs w:val="24"/>
              </w:rPr>
              <w:t>Indirect Immunofluorescence</w:t>
            </w:r>
            <w:r>
              <w:rPr>
                <w:rFonts w:ascii="Times New Roman" w:eastAsia="Times New Roman" w:hAnsi="Times New Roman" w:cs="Times New Roman"/>
                <w:sz w:val="24"/>
                <w:szCs w:val="24"/>
              </w:rPr>
              <w:t xml:space="preserve"> (IIF)</w:t>
            </w:r>
          </w:p>
        </w:tc>
        <w:tc>
          <w:tcPr>
            <w:tcW w:w="0" w:type="auto"/>
            <w:vAlign w:val="center"/>
            <w:hideMark/>
          </w:tcPr>
          <w:p w14:paraId="0C9FF372" w14:textId="77777777" w:rsidR="00315A75" w:rsidRPr="00315A75" w:rsidRDefault="00315A75" w:rsidP="00315A75">
            <w:pPr>
              <w:jc w:val="right"/>
              <w:rPr>
                <w:rFonts w:ascii="Times New Roman" w:eastAsia="Times New Roman" w:hAnsi="Times New Roman" w:cs="Times New Roman"/>
                <w:sz w:val="24"/>
                <w:szCs w:val="24"/>
              </w:rPr>
            </w:pPr>
            <w:r w:rsidRPr="00315A75">
              <w:rPr>
                <w:rFonts w:ascii="Times New Roman" w:eastAsia="Times New Roman" w:hAnsi="Times New Roman" w:cs="Times New Roman"/>
                <w:sz w:val="24"/>
                <w:szCs w:val="24"/>
              </w:rPr>
              <w:t> </w:t>
            </w:r>
          </w:p>
        </w:tc>
        <w:tc>
          <w:tcPr>
            <w:tcW w:w="750" w:type="pct"/>
            <w:vAlign w:val="center"/>
            <w:hideMark/>
          </w:tcPr>
          <w:p w14:paraId="6F4B0519" w14:textId="77777777" w:rsidR="00315A75" w:rsidRPr="00315A75" w:rsidRDefault="00315A75" w:rsidP="00315A75">
            <w:pPr>
              <w:jc w:val="right"/>
              <w:rPr>
                <w:rFonts w:ascii="Times New Roman" w:eastAsia="Times New Roman" w:hAnsi="Times New Roman" w:cs="Times New Roman"/>
                <w:sz w:val="24"/>
                <w:szCs w:val="24"/>
              </w:rPr>
            </w:pPr>
          </w:p>
        </w:tc>
      </w:tr>
    </w:tbl>
    <w:p w14:paraId="69FFCAC8" w14:textId="77777777" w:rsidR="00315A75" w:rsidRPr="00315A75" w:rsidRDefault="00315A75" w:rsidP="00315A75">
      <w:pPr>
        <w:spacing w:after="240"/>
        <w:rPr>
          <w:rFonts w:ascii="Times New Roman" w:eastAsia="Times New Roman" w:hAnsi="Times New Roman" w:cs="Times New Roman"/>
          <w:sz w:val="24"/>
          <w:szCs w:val="24"/>
        </w:rPr>
      </w:pPr>
      <w:r w:rsidRPr="00315A75">
        <w:rPr>
          <w:rFonts w:ascii="Times New Roman" w:eastAsia="Times New Roman" w:hAnsi="Times New Roman" w:cs="Times New Roman"/>
          <w:sz w:val="24"/>
          <w:szCs w:val="24"/>
        </w:rPr>
        <w:t>IIF is a two-step serological technique for detection of circulating antibodies in body fluids.</w:t>
      </w:r>
      <w:r w:rsidRPr="00315A75">
        <w:rPr>
          <w:rFonts w:ascii="Times New Roman" w:eastAsia="Times New Roman" w:hAnsi="Times New Roman" w:cs="Times New Roman"/>
          <w:sz w:val="24"/>
          <w:szCs w:val="24"/>
          <w:vertAlign w:val="superscript"/>
        </w:rPr>
        <w:t xml:space="preserve"> </w:t>
      </w:r>
      <w:bookmarkEnd w:id="1"/>
      <w:bookmarkEnd w:id="2"/>
      <w:r w:rsidRPr="00315A75">
        <w:rPr>
          <w:rFonts w:ascii="Times New Roman" w:eastAsia="Times New Roman" w:hAnsi="Times New Roman" w:cs="Times New Roman"/>
          <w:sz w:val="24"/>
          <w:szCs w:val="24"/>
        </w:rPr>
        <w:t>The procedure involves the following steps:</w:t>
      </w:r>
    </w:p>
    <w:p w14:paraId="15134D99" w14:textId="77777777" w:rsidR="00315A75" w:rsidRPr="00315A75" w:rsidRDefault="00315A75" w:rsidP="00315A75">
      <w:pPr>
        <w:numPr>
          <w:ilvl w:val="0"/>
          <w:numId w:val="3"/>
        </w:numPr>
        <w:spacing w:before="100" w:beforeAutospacing="1" w:after="100" w:afterAutospacing="1"/>
        <w:rPr>
          <w:rFonts w:ascii="Times New Roman" w:eastAsia="Times New Roman" w:hAnsi="Times New Roman" w:cs="Times New Roman"/>
          <w:sz w:val="24"/>
          <w:szCs w:val="24"/>
        </w:rPr>
      </w:pPr>
      <w:r w:rsidRPr="00315A75">
        <w:rPr>
          <w:rFonts w:ascii="Times New Roman" w:eastAsia="Times New Roman" w:hAnsi="Times New Roman" w:cs="Times New Roman"/>
          <w:sz w:val="24"/>
          <w:szCs w:val="24"/>
        </w:rPr>
        <w:t>Substrate sections are allowed to react with serially diluted (1:10, 1:80 etc) patient's serum in a moist chamber for 30 min. Control sera of known positive and negative antibody reactivity are tested simultaneously.</w:t>
      </w:r>
    </w:p>
    <w:p w14:paraId="2094B27D" w14:textId="77777777" w:rsidR="00315A75" w:rsidRPr="00315A75" w:rsidRDefault="00315A75" w:rsidP="00315A75">
      <w:pPr>
        <w:numPr>
          <w:ilvl w:val="0"/>
          <w:numId w:val="3"/>
        </w:numPr>
        <w:spacing w:before="100" w:beforeAutospacing="1" w:after="100" w:afterAutospacing="1"/>
        <w:rPr>
          <w:rFonts w:ascii="Times New Roman" w:eastAsia="Times New Roman" w:hAnsi="Times New Roman" w:cs="Times New Roman"/>
          <w:sz w:val="24"/>
          <w:szCs w:val="24"/>
        </w:rPr>
      </w:pPr>
      <w:r w:rsidRPr="00315A75">
        <w:rPr>
          <w:rFonts w:ascii="Times New Roman" w:eastAsia="Times New Roman" w:hAnsi="Times New Roman" w:cs="Times New Roman"/>
          <w:sz w:val="24"/>
          <w:szCs w:val="24"/>
        </w:rPr>
        <w:lastRenderedPageBreak/>
        <w:t>Following a rinse in PBS to remove unbound serum proteins, sections are treated with a FITC-conjugated anti</w:t>
      </w:r>
      <w:r>
        <w:rPr>
          <w:rFonts w:ascii="Times New Roman" w:eastAsia="Times New Roman" w:hAnsi="Times New Roman" w:cs="Times New Roman"/>
          <w:sz w:val="24"/>
          <w:szCs w:val="24"/>
        </w:rPr>
        <w:t>-</w:t>
      </w:r>
      <w:r w:rsidRPr="00315A75">
        <w:rPr>
          <w:rFonts w:ascii="Times New Roman" w:eastAsia="Times New Roman" w:hAnsi="Times New Roman" w:cs="Times New Roman"/>
          <w:sz w:val="24"/>
          <w:szCs w:val="24"/>
        </w:rPr>
        <w:t>IgG or other antibody conjugates of defined specificity.</w:t>
      </w:r>
    </w:p>
    <w:p w14:paraId="039018F7" w14:textId="77777777" w:rsidR="00315A75" w:rsidRPr="00315A75" w:rsidRDefault="00315A75" w:rsidP="00315A75">
      <w:pPr>
        <w:numPr>
          <w:ilvl w:val="0"/>
          <w:numId w:val="3"/>
        </w:numPr>
        <w:spacing w:before="100" w:beforeAutospacing="1" w:after="100" w:afterAutospacing="1"/>
        <w:rPr>
          <w:rFonts w:ascii="Times New Roman" w:eastAsia="Times New Roman" w:hAnsi="Times New Roman" w:cs="Times New Roman"/>
          <w:sz w:val="24"/>
          <w:szCs w:val="24"/>
        </w:rPr>
      </w:pPr>
      <w:r w:rsidRPr="00315A75">
        <w:rPr>
          <w:rFonts w:ascii="Times New Roman" w:eastAsia="Times New Roman" w:hAnsi="Times New Roman" w:cs="Times New Roman"/>
          <w:sz w:val="24"/>
          <w:szCs w:val="24"/>
        </w:rPr>
        <w:t xml:space="preserve">Following a rinse for at least 10 min in PBS to remove the unbound conjugate, slides are mounted and examined under a fluorescence microscope. </w:t>
      </w:r>
    </w:p>
    <w:p w14:paraId="4A1A6E02" w14:textId="77777777" w:rsidR="00315A75" w:rsidRDefault="00315A75" w:rsidP="00315A75">
      <w:pPr>
        <w:rPr>
          <w:rFonts w:ascii="Times New Roman" w:hAnsi="Times New Roman" w:cs="Times New Roman"/>
          <w:sz w:val="24"/>
          <w:szCs w:val="24"/>
        </w:rPr>
      </w:pPr>
    </w:p>
    <w:p w14:paraId="72FB17FE" w14:textId="3B849B57" w:rsidR="00315A75" w:rsidRDefault="00315A75">
      <w:pPr>
        <w:rPr>
          <w:rFonts w:ascii="Times New Roman" w:hAnsi="Times New Roman" w:cs="Times New Roman"/>
          <w:sz w:val="24"/>
          <w:szCs w:val="24"/>
        </w:rPr>
      </w:pPr>
      <w:r>
        <w:rPr>
          <w:rFonts w:ascii="Times New Roman" w:hAnsi="Times New Roman" w:cs="Times New Roman"/>
          <w:sz w:val="24"/>
          <w:szCs w:val="24"/>
        </w:rPr>
        <w:t xml:space="preserve">In todays’ lab, we will be using Indirect Immunofluorescence assay to visualize </w:t>
      </w:r>
      <w:r w:rsidR="00170470">
        <w:rPr>
          <w:rFonts w:ascii="Times New Roman" w:hAnsi="Times New Roman" w:cs="Times New Roman"/>
          <w:sz w:val="24"/>
          <w:szCs w:val="24"/>
        </w:rPr>
        <w:t xml:space="preserve">a </w:t>
      </w:r>
      <w:r w:rsidR="00CA4630">
        <w:rPr>
          <w:rFonts w:ascii="Times New Roman" w:hAnsi="Times New Roman" w:cs="Times New Roman"/>
          <w:sz w:val="24"/>
          <w:szCs w:val="24"/>
        </w:rPr>
        <w:t xml:space="preserve">Toll-like receptor TLR-2 on </w:t>
      </w:r>
      <w:r w:rsidR="006E0023">
        <w:rPr>
          <w:rFonts w:ascii="Times New Roman" w:hAnsi="Times New Roman" w:cs="Times New Roman"/>
          <w:sz w:val="24"/>
          <w:szCs w:val="24"/>
        </w:rPr>
        <w:t>Hela</w:t>
      </w:r>
      <w:r w:rsidR="00CA4630">
        <w:rPr>
          <w:rFonts w:ascii="Times New Roman" w:hAnsi="Times New Roman" w:cs="Times New Roman"/>
          <w:sz w:val="24"/>
          <w:szCs w:val="24"/>
        </w:rPr>
        <w:t xml:space="preserve"> cells</w:t>
      </w:r>
      <w:r>
        <w:rPr>
          <w:rFonts w:ascii="Times New Roman" w:hAnsi="Times New Roman" w:cs="Times New Roman"/>
          <w:sz w:val="24"/>
          <w:szCs w:val="24"/>
        </w:rPr>
        <w:t>. The antigen-antibody reaction will be visualized using FITC-conjugated anti-mouse secondary antibody, using fluorescein filters on an Epifluorescence microscope.</w:t>
      </w:r>
    </w:p>
    <w:p w14:paraId="25D4603D" w14:textId="77777777" w:rsidR="00315A75" w:rsidRDefault="00315A75">
      <w:pPr>
        <w:rPr>
          <w:rFonts w:ascii="Times New Roman" w:hAnsi="Times New Roman" w:cs="Times New Roman"/>
          <w:sz w:val="24"/>
          <w:szCs w:val="24"/>
        </w:rPr>
      </w:pPr>
    </w:p>
    <w:p w14:paraId="5F7CCC77" w14:textId="77777777" w:rsidR="00DA6B42" w:rsidRDefault="00DA6B42">
      <w:pPr>
        <w:rPr>
          <w:rFonts w:ascii="Times New Roman" w:hAnsi="Times New Roman" w:cs="Times New Roman"/>
          <w:sz w:val="24"/>
          <w:szCs w:val="24"/>
        </w:rPr>
      </w:pPr>
    </w:p>
    <w:p w14:paraId="51BCD5EF" w14:textId="77777777" w:rsidR="00B10FCE" w:rsidRDefault="00B10FCE">
      <w:pPr>
        <w:rPr>
          <w:rFonts w:ascii="Times New Roman" w:hAnsi="Times New Roman" w:cs="Times New Roman"/>
          <w:sz w:val="24"/>
          <w:szCs w:val="24"/>
        </w:rPr>
      </w:pPr>
    </w:p>
    <w:p w14:paraId="54681075" w14:textId="77777777" w:rsidR="00B10FCE" w:rsidRDefault="00B10FCE" w:rsidP="00B10FC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Collect </w:t>
      </w:r>
      <w:r w:rsidRPr="00B10FCE">
        <w:rPr>
          <w:rFonts w:ascii="Times New Roman" w:hAnsi="Times New Roman" w:cs="Times New Roman"/>
          <w:sz w:val="24"/>
          <w:szCs w:val="24"/>
        </w:rPr>
        <w:t>1 × 10</w:t>
      </w:r>
      <w:r w:rsidRPr="00B10FCE">
        <w:rPr>
          <w:rFonts w:ascii="Times New Roman" w:hAnsi="Times New Roman" w:cs="Times New Roman"/>
          <w:sz w:val="24"/>
          <w:szCs w:val="24"/>
          <w:vertAlign w:val="superscript"/>
        </w:rPr>
        <w:t xml:space="preserve">6 </w:t>
      </w:r>
      <w:r w:rsidRPr="00B10FCE">
        <w:rPr>
          <w:rFonts w:ascii="Times New Roman" w:hAnsi="Times New Roman" w:cs="Times New Roman"/>
          <w:sz w:val="24"/>
          <w:szCs w:val="24"/>
        </w:rPr>
        <w:t xml:space="preserve">logarithmic-phase </w:t>
      </w:r>
      <w:r w:rsidR="00170470">
        <w:rPr>
          <w:rFonts w:ascii="Times New Roman" w:hAnsi="Times New Roman" w:cs="Times New Roman"/>
          <w:sz w:val="24"/>
          <w:szCs w:val="24"/>
        </w:rPr>
        <w:t>cells</w:t>
      </w:r>
      <w:r w:rsidRPr="00B10FCE">
        <w:rPr>
          <w:rFonts w:ascii="Times New Roman" w:hAnsi="Times New Roman" w:cs="Times New Roman"/>
          <w:sz w:val="24"/>
          <w:szCs w:val="24"/>
        </w:rPr>
        <w:t xml:space="preserve"> </w:t>
      </w:r>
      <w:r>
        <w:rPr>
          <w:rFonts w:ascii="Times New Roman" w:hAnsi="Times New Roman" w:cs="Times New Roman"/>
          <w:sz w:val="24"/>
          <w:szCs w:val="24"/>
        </w:rPr>
        <w:t xml:space="preserve">by centrifugation and wash </w:t>
      </w:r>
      <w:r w:rsidRPr="00B10FCE">
        <w:rPr>
          <w:rFonts w:ascii="Times New Roman" w:hAnsi="Times New Roman" w:cs="Times New Roman"/>
          <w:sz w:val="24"/>
          <w:szCs w:val="24"/>
        </w:rPr>
        <w:t>twice with cold PBS</w:t>
      </w:r>
      <w:r w:rsidR="00170470">
        <w:rPr>
          <w:rFonts w:ascii="Times New Roman" w:hAnsi="Times New Roman" w:cs="Times New Roman"/>
          <w:sz w:val="24"/>
          <w:szCs w:val="24"/>
        </w:rPr>
        <w:t xml:space="preserve"> (we have it already adhered to tissue culture we</w:t>
      </w:r>
      <w:r w:rsidR="00CA4630">
        <w:rPr>
          <w:rFonts w:ascii="Times New Roman" w:hAnsi="Times New Roman" w:cs="Times New Roman"/>
          <w:sz w:val="24"/>
          <w:szCs w:val="24"/>
        </w:rPr>
        <w:t>l</w:t>
      </w:r>
      <w:r w:rsidR="00170470">
        <w:rPr>
          <w:rFonts w:ascii="Times New Roman" w:hAnsi="Times New Roman" w:cs="Times New Roman"/>
          <w:sz w:val="24"/>
          <w:szCs w:val="24"/>
        </w:rPr>
        <w:t>ls).</w:t>
      </w:r>
    </w:p>
    <w:p w14:paraId="374C4227" w14:textId="77777777" w:rsidR="00B10FCE" w:rsidRDefault="00B10FCE" w:rsidP="00B10FC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F</w:t>
      </w:r>
      <w:r w:rsidRPr="00B10FCE">
        <w:rPr>
          <w:rFonts w:ascii="Times New Roman" w:hAnsi="Times New Roman" w:cs="Times New Roman"/>
          <w:sz w:val="24"/>
          <w:szCs w:val="24"/>
        </w:rPr>
        <w:t>ix</w:t>
      </w:r>
      <w:r>
        <w:rPr>
          <w:rFonts w:ascii="Times New Roman" w:hAnsi="Times New Roman" w:cs="Times New Roman"/>
          <w:sz w:val="24"/>
          <w:szCs w:val="24"/>
        </w:rPr>
        <w:t xml:space="preserve"> </w:t>
      </w:r>
      <w:r w:rsidRPr="00B10FCE">
        <w:rPr>
          <w:rFonts w:ascii="Times New Roman" w:hAnsi="Times New Roman" w:cs="Times New Roman"/>
          <w:sz w:val="24"/>
          <w:szCs w:val="24"/>
        </w:rPr>
        <w:t xml:space="preserve">with </w:t>
      </w:r>
      <w:r>
        <w:rPr>
          <w:rFonts w:ascii="Times New Roman" w:hAnsi="Times New Roman" w:cs="Times New Roman"/>
          <w:sz w:val="24"/>
          <w:szCs w:val="24"/>
        </w:rPr>
        <w:t xml:space="preserve">1 ml of </w:t>
      </w:r>
      <w:r w:rsidRPr="00B10FCE">
        <w:rPr>
          <w:rFonts w:ascii="Times New Roman" w:hAnsi="Times New Roman" w:cs="Times New Roman"/>
          <w:sz w:val="24"/>
          <w:szCs w:val="24"/>
        </w:rPr>
        <w:t xml:space="preserve">4 % paraformaldehyde for 10 min at RT. </w:t>
      </w:r>
    </w:p>
    <w:p w14:paraId="0392B05B" w14:textId="77777777" w:rsidR="00B10FCE" w:rsidRDefault="00B10FCE" w:rsidP="00B10FC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Wash</w:t>
      </w:r>
      <w:r w:rsidRPr="00B10FCE">
        <w:rPr>
          <w:rFonts w:ascii="Times New Roman" w:hAnsi="Times New Roman" w:cs="Times New Roman"/>
          <w:sz w:val="24"/>
          <w:szCs w:val="24"/>
        </w:rPr>
        <w:t xml:space="preserve"> cells in </w:t>
      </w:r>
      <w:r>
        <w:rPr>
          <w:rFonts w:ascii="Times New Roman" w:hAnsi="Times New Roman" w:cs="Times New Roman"/>
          <w:sz w:val="24"/>
          <w:szCs w:val="24"/>
        </w:rPr>
        <w:t xml:space="preserve">1 ml </w:t>
      </w:r>
      <w:r w:rsidR="00170470">
        <w:rPr>
          <w:rFonts w:ascii="Times New Roman" w:hAnsi="Times New Roman" w:cs="Times New Roman"/>
          <w:sz w:val="24"/>
          <w:szCs w:val="24"/>
        </w:rPr>
        <w:t xml:space="preserve">PBS and permeabilize with Acetone for </w:t>
      </w:r>
      <w:r>
        <w:rPr>
          <w:rFonts w:ascii="Times New Roman" w:hAnsi="Times New Roman" w:cs="Times New Roman"/>
          <w:sz w:val="24"/>
          <w:szCs w:val="24"/>
        </w:rPr>
        <w:t>10</w:t>
      </w:r>
      <w:r w:rsidRPr="00B10FCE">
        <w:rPr>
          <w:rFonts w:ascii="Times New Roman" w:hAnsi="Times New Roman" w:cs="Times New Roman"/>
          <w:sz w:val="24"/>
          <w:szCs w:val="24"/>
        </w:rPr>
        <w:t xml:space="preserve"> min at RT. </w:t>
      </w:r>
    </w:p>
    <w:p w14:paraId="2D8452E6" w14:textId="77777777" w:rsidR="00B10FCE" w:rsidRDefault="00B10FCE" w:rsidP="00B10FC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Block cells</w:t>
      </w:r>
      <w:r w:rsidRPr="00B10FCE">
        <w:rPr>
          <w:rFonts w:ascii="Times New Roman" w:hAnsi="Times New Roman" w:cs="Times New Roman"/>
          <w:sz w:val="24"/>
          <w:szCs w:val="24"/>
        </w:rPr>
        <w:t xml:space="preserve"> </w:t>
      </w:r>
      <w:r>
        <w:rPr>
          <w:rFonts w:ascii="Times New Roman" w:hAnsi="Times New Roman" w:cs="Times New Roman"/>
          <w:sz w:val="24"/>
          <w:szCs w:val="24"/>
        </w:rPr>
        <w:t xml:space="preserve">with </w:t>
      </w:r>
      <w:r w:rsidRPr="00B10FCE">
        <w:rPr>
          <w:rFonts w:ascii="Times New Roman" w:hAnsi="Times New Roman" w:cs="Times New Roman"/>
          <w:sz w:val="24"/>
          <w:szCs w:val="24"/>
        </w:rPr>
        <w:t xml:space="preserve">5% BSA for </w:t>
      </w:r>
      <w:r w:rsidR="00CA4630">
        <w:rPr>
          <w:rFonts w:ascii="Times New Roman" w:hAnsi="Times New Roman" w:cs="Times New Roman"/>
          <w:sz w:val="24"/>
          <w:szCs w:val="24"/>
        </w:rPr>
        <w:t>3</w:t>
      </w:r>
      <w:r w:rsidR="00170470">
        <w:rPr>
          <w:rFonts w:ascii="Times New Roman" w:hAnsi="Times New Roman" w:cs="Times New Roman"/>
          <w:sz w:val="24"/>
          <w:szCs w:val="24"/>
        </w:rPr>
        <w:t>0</w:t>
      </w:r>
      <w:r>
        <w:rPr>
          <w:rFonts w:ascii="Times New Roman" w:hAnsi="Times New Roman" w:cs="Times New Roman"/>
          <w:sz w:val="24"/>
          <w:szCs w:val="24"/>
        </w:rPr>
        <w:t xml:space="preserve"> min</w:t>
      </w:r>
      <w:r w:rsidRPr="00B10FCE">
        <w:rPr>
          <w:rFonts w:ascii="Times New Roman" w:hAnsi="Times New Roman" w:cs="Times New Roman"/>
          <w:sz w:val="24"/>
          <w:szCs w:val="24"/>
        </w:rPr>
        <w:t xml:space="preserve"> at RT</w:t>
      </w:r>
      <w:r>
        <w:rPr>
          <w:rFonts w:ascii="Times New Roman" w:hAnsi="Times New Roman" w:cs="Times New Roman"/>
          <w:sz w:val="24"/>
          <w:szCs w:val="24"/>
        </w:rPr>
        <w:t>.</w:t>
      </w:r>
    </w:p>
    <w:p w14:paraId="486D121A" w14:textId="77777777" w:rsidR="00170470" w:rsidRDefault="00B10FCE" w:rsidP="00B10FCE">
      <w:pPr>
        <w:pStyle w:val="ListParagraph"/>
        <w:numPr>
          <w:ilvl w:val="0"/>
          <w:numId w:val="1"/>
        </w:numPr>
        <w:rPr>
          <w:rFonts w:ascii="Times New Roman" w:hAnsi="Times New Roman" w:cs="Times New Roman"/>
          <w:sz w:val="24"/>
          <w:szCs w:val="24"/>
        </w:rPr>
      </w:pPr>
      <w:r w:rsidRPr="00170470">
        <w:rPr>
          <w:rFonts w:ascii="Times New Roman" w:hAnsi="Times New Roman" w:cs="Times New Roman"/>
          <w:sz w:val="24"/>
          <w:szCs w:val="24"/>
        </w:rPr>
        <w:t>Wash cells with 1ml of 1X PBS</w:t>
      </w:r>
      <w:r w:rsidR="00170470" w:rsidRPr="00170470">
        <w:rPr>
          <w:rFonts w:ascii="Times New Roman" w:hAnsi="Times New Roman" w:cs="Times New Roman"/>
          <w:sz w:val="24"/>
          <w:szCs w:val="24"/>
        </w:rPr>
        <w:t>.</w:t>
      </w:r>
      <w:r w:rsidRPr="00170470">
        <w:rPr>
          <w:rFonts w:ascii="Times New Roman" w:hAnsi="Times New Roman" w:cs="Times New Roman"/>
          <w:sz w:val="24"/>
          <w:szCs w:val="24"/>
        </w:rPr>
        <w:t xml:space="preserve"> </w:t>
      </w:r>
    </w:p>
    <w:p w14:paraId="1B5C5367" w14:textId="77777777" w:rsidR="00B10FCE" w:rsidRPr="00170470" w:rsidRDefault="00B10FCE" w:rsidP="00B10FCE">
      <w:pPr>
        <w:pStyle w:val="ListParagraph"/>
        <w:numPr>
          <w:ilvl w:val="0"/>
          <w:numId w:val="1"/>
        </w:numPr>
        <w:rPr>
          <w:rFonts w:ascii="Times New Roman" w:hAnsi="Times New Roman" w:cs="Times New Roman"/>
          <w:sz w:val="24"/>
          <w:szCs w:val="24"/>
        </w:rPr>
      </w:pPr>
      <w:r w:rsidRPr="00170470">
        <w:rPr>
          <w:rFonts w:ascii="Times New Roman" w:hAnsi="Times New Roman" w:cs="Times New Roman"/>
          <w:sz w:val="24"/>
          <w:szCs w:val="24"/>
        </w:rPr>
        <w:t xml:space="preserve">Incubate cells with 1:1 dilution of </w:t>
      </w:r>
      <w:r w:rsidR="002C46B0" w:rsidRPr="00170470">
        <w:rPr>
          <w:rFonts w:ascii="Times New Roman" w:hAnsi="Times New Roman" w:cs="Times New Roman"/>
          <w:sz w:val="24"/>
          <w:szCs w:val="24"/>
        </w:rPr>
        <w:t>monoclonal</w:t>
      </w:r>
      <w:r w:rsidRPr="00170470">
        <w:rPr>
          <w:rFonts w:ascii="Times New Roman" w:hAnsi="Times New Roman" w:cs="Times New Roman"/>
          <w:sz w:val="24"/>
          <w:szCs w:val="24"/>
        </w:rPr>
        <w:t xml:space="preserve"> antibody for 30 min at RT.</w:t>
      </w:r>
    </w:p>
    <w:p w14:paraId="3FF855BC" w14:textId="77777777" w:rsidR="00B10FCE" w:rsidRDefault="00B10FCE" w:rsidP="00B10FC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Wash cells with PBS</w:t>
      </w:r>
      <w:r w:rsidRPr="00B10FCE">
        <w:rPr>
          <w:rFonts w:ascii="Times New Roman" w:hAnsi="Times New Roman" w:cs="Times New Roman"/>
          <w:sz w:val="24"/>
          <w:szCs w:val="24"/>
        </w:rPr>
        <w:t xml:space="preserve"> and incubate</w:t>
      </w:r>
      <w:r>
        <w:rPr>
          <w:rFonts w:ascii="Times New Roman" w:hAnsi="Times New Roman" w:cs="Times New Roman"/>
          <w:sz w:val="24"/>
          <w:szCs w:val="24"/>
        </w:rPr>
        <w:t xml:space="preserve"> with FITC-conjugated secondary antibody (1:100)</w:t>
      </w:r>
      <w:r w:rsidRPr="00B10FCE">
        <w:rPr>
          <w:rFonts w:ascii="Times New Roman" w:hAnsi="Times New Roman" w:cs="Times New Roman"/>
          <w:sz w:val="24"/>
          <w:szCs w:val="24"/>
        </w:rPr>
        <w:t xml:space="preserve"> for </w:t>
      </w:r>
      <w:r>
        <w:rPr>
          <w:rFonts w:ascii="Times New Roman" w:hAnsi="Times New Roman" w:cs="Times New Roman"/>
          <w:sz w:val="24"/>
          <w:szCs w:val="24"/>
        </w:rPr>
        <w:t>30 min</w:t>
      </w:r>
      <w:r w:rsidRPr="00B10FCE">
        <w:rPr>
          <w:rFonts w:ascii="Times New Roman" w:hAnsi="Times New Roman" w:cs="Times New Roman"/>
          <w:sz w:val="24"/>
          <w:szCs w:val="24"/>
        </w:rPr>
        <w:t xml:space="preserve"> at 37°</w:t>
      </w:r>
      <w:r w:rsidR="00CA4630">
        <w:rPr>
          <w:rFonts w:ascii="Times New Roman" w:hAnsi="Times New Roman" w:cs="Times New Roman"/>
          <w:sz w:val="24"/>
          <w:szCs w:val="24"/>
        </w:rPr>
        <w:t>C</w:t>
      </w:r>
    </w:p>
    <w:p w14:paraId="34FDD36E" w14:textId="77777777" w:rsidR="00B10FCE" w:rsidRDefault="00B10FCE" w:rsidP="00B10FC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Wash cells twice with PBS.</w:t>
      </w:r>
    </w:p>
    <w:p w14:paraId="08A4FD67" w14:textId="77777777" w:rsidR="009B12A8" w:rsidRDefault="00170470" w:rsidP="00B10FC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O</w:t>
      </w:r>
      <w:r w:rsidR="00B10FCE">
        <w:rPr>
          <w:rFonts w:ascii="Times New Roman" w:hAnsi="Times New Roman" w:cs="Times New Roman"/>
          <w:sz w:val="24"/>
          <w:szCs w:val="24"/>
        </w:rPr>
        <w:t>bserve</w:t>
      </w:r>
      <w:r>
        <w:rPr>
          <w:rFonts w:ascii="Times New Roman" w:hAnsi="Times New Roman" w:cs="Times New Roman"/>
          <w:sz w:val="24"/>
          <w:szCs w:val="24"/>
        </w:rPr>
        <w:t xml:space="preserve"> using fluorescence microscope.</w:t>
      </w:r>
    </w:p>
    <w:p w14:paraId="3C9A151C" w14:textId="77777777" w:rsidR="00B10FCE" w:rsidRDefault="00B10FCE" w:rsidP="00B10FCE">
      <w:pPr>
        <w:pStyle w:val="ListParagraph"/>
        <w:rPr>
          <w:rFonts w:ascii="Times New Roman" w:hAnsi="Times New Roman" w:cs="Times New Roman"/>
          <w:sz w:val="24"/>
          <w:szCs w:val="24"/>
        </w:rPr>
      </w:pPr>
    </w:p>
    <w:p w14:paraId="7E28B1F4" w14:textId="77777777" w:rsidR="00B10FCE" w:rsidRPr="00B10FCE" w:rsidRDefault="00B10FCE" w:rsidP="00B10FCE">
      <w:pPr>
        <w:pStyle w:val="ListParagraph"/>
        <w:rPr>
          <w:rFonts w:ascii="Times New Roman" w:hAnsi="Times New Roman" w:cs="Times New Roman"/>
          <w:sz w:val="24"/>
          <w:szCs w:val="24"/>
        </w:rPr>
      </w:pPr>
      <w:bookmarkStart w:id="4" w:name="_GoBack"/>
      <w:bookmarkEnd w:id="4"/>
    </w:p>
    <w:sectPr w:rsidR="00B10FCE" w:rsidRPr="00B10FCE" w:rsidSect="009B12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90003"/>
    <w:multiLevelType w:val="multilevel"/>
    <w:tmpl w:val="3BB87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5A7951"/>
    <w:multiLevelType w:val="multilevel"/>
    <w:tmpl w:val="F4CCC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EAD1287"/>
    <w:multiLevelType w:val="hybridMultilevel"/>
    <w:tmpl w:val="FB022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10FCE"/>
    <w:rsid w:val="00170470"/>
    <w:rsid w:val="001D5E37"/>
    <w:rsid w:val="002C46B0"/>
    <w:rsid w:val="00315A75"/>
    <w:rsid w:val="003B3102"/>
    <w:rsid w:val="006E0023"/>
    <w:rsid w:val="007C527C"/>
    <w:rsid w:val="009314D4"/>
    <w:rsid w:val="009B12A8"/>
    <w:rsid w:val="00B10FCE"/>
    <w:rsid w:val="00BC28CB"/>
    <w:rsid w:val="00CA4630"/>
    <w:rsid w:val="00CD014D"/>
    <w:rsid w:val="00DA6B42"/>
    <w:rsid w:val="00E72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3E802"/>
  <w15:docId w15:val="{CF0FAEB0-B052-468D-ACFD-557B2A97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10FCE"/>
    <w:rPr>
      <w:color w:val="0000FF"/>
      <w:u w:val="single"/>
    </w:rPr>
  </w:style>
  <w:style w:type="paragraph" w:styleId="ListParagraph">
    <w:name w:val="List Paragraph"/>
    <w:basedOn w:val="Normal"/>
    <w:uiPriority w:val="34"/>
    <w:qFormat/>
    <w:rsid w:val="00B10FCE"/>
    <w:pPr>
      <w:ind w:left="720"/>
      <w:contextualSpacing/>
    </w:pPr>
  </w:style>
  <w:style w:type="paragraph" w:styleId="BalloonText">
    <w:name w:val="Balloon Text"/>
    <w:basedOn w:val="Normal"/>
    <w:link w:val="BalloonTextChar"/>
    <w:uiPriority w:val="99"/>
    <w:semiHidden/>
    <w:unhideWhenUsed/>
    <w:rsid w:val="00315A75"/>
    <w:rPr>
      <w:rFonts w:ascii="Tahoma" w:hAnsi="Tahoma" w:cs="Tahoma"/>
      <w:sz w:val="16"/>
      <w:szCs w:val="16"/>
    </w:rPr>
  </w:style>
  <w:style w:type="character" w:customStyle="1" w:styleId="BalloonTextChar">
    <w:name w:val="Balloon Text Char"/>
    <w:basedOn w:val="DefaultParagraphFont"/>
    <w:link w:val="BalloonText"/>
    <w:uiPriority w:val="99"/>
    <w:semiHidden/>
    <w:rsid w:val="00315A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14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askucknoor</dc:creator>
  <cp:lastModifiedBy>ASHWINI KUCKNOOR</cp:lastModifiedBy>
  <cp:revision>3</cp:revision>
  <cp:lastPrinted>2016-11-29T20:23:00Z</cp:lastPrinted>
  <dcterms:created xsi:type="dcterms:W3CDTF">2017-11-28T14:47:00Z</dcterms:created>
  <dcterms:modified xsi:type="dcterms:W3CDTF">2020-10-05T20:54:00Z</dcterms:modified>
</cp:coreProperties>
</file>