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9DE49" w14:textId="7AC5C1EB" w:rsidR="00C97DA8" w:rsidRPr="00B57DE2" w:rsidRDefault="00C97DA8" w:rsidP="00B57D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6A70144" w14:textId="77777777" w:rsidR="00426428" w:rsidRPr="007112E6" w:rsidRDefault="00346572" w:rsidP="007112E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2E6">
        <w:rPr>
          <w:rFonts w:ascii="Times New Roman" w:hAnsi="Times New Roman" w:cs="Times New Roman"/>
          <w:sz w:val="24"/>
          <w:szCs w:val="24"/>
        </w:rPr>
        <w:t>Viral immunology</w:t>
      </w:r>
    </w:p>
    <w:tbl>
      <w:tblPr>
        <w:tblStyle w:val="TableGrid"/>
        <w:tblpPr w:leftFromText="180" w:rightFromText="180" w:vertAnchor="text" w:horzAnchor="margin" w:tblpY="414"/>
        <w:tblW w:w="0" w:type="auto"/>
        <w:tblLook w:val="0000" w:firstRow="0" w:lastRow="0" w:firstColumn="0" w:lastColumn="0" w:noHBand="0" w:noVBand="0"/>
      </w:tblPr>
      <w:tblGrid>
        <w:gridCol w:w="840"/>
        <w:gridCol w:w="6"/>
        <w:gridCol w:w="3279"/>
        <w:gridCol w:w="5451"/>
      </w:tblGrid>
      <w:tr w:rsidR="00BA4B19" w14:paraId="555AFB7E" w14:textId="77777777" w:rsidTr="007D3BE4">
        <w:trPr>
          <w:trHeight w:val="405"/>
        </w:trPr>
        <w:tc>
          <w:tcPr>
            <w:tcW w:w="840" w:type="dxa"/>
          </w:tcPr>
          <w:p w14:paraId="5FE87FF8" w14:textId="77777777" w:rsidR="007D3BE4" w:rsidRDefault="007D3BE4" w:rsidP="007D3BE4">
            <w:pPr>
              <w:jc w:val="center"/>
              <w:rPr>
                <w:b/>
              </w:rPr>
            </w:pPr>
          </w:p>
        </w:tc>
        <w:tc>
          <w:tcPr>
            <w:tcW w:w="3285" w:type="dxa"/>
            <w:gridSpan w:val="2"/>
          </w:tcPr>
          <w:p w14:paraId="75822701" w14:textId="77777777" w:rsidR="007D3BE4" w:rsidRDefault="00346572" w:rsidP="007D3BE4">
            <w:pPr>
              <w:jc w:val="center"/>
              <w:rPr>
                <w:b/>
              </w:rPr>
            </w:pPr>
            <w:r w:rsidRPr="005717F8">
              <w:rPr>
                <w:rFonts w:ascii="Times New Roman" w:hAnsi="Times New Roman" w:cs="Times New Roman"/>
                <w:b/>
                <w:szCs w:val="24"/>
              </w:rPr>
              <w:t>Scientific Term</w:t>
            </w:r>
          </w:p>
        </w:tc>
        <w:tc>
          <w:tcPr>
            <w:tcW w:w="5451" w:type="dxa"/>
          </w:tcPr>
          <w:p w14:paraId="1D1F505F" w14:textId="77777777" w:rsidR="007D3BE4" w:rsidRDefault="00346572" w:rsidP="007D3BE4">
            <w:pPr>
              <w:jc w:val="center"/>
              <w:rPr>
                <w:b/>
              </w:rPr>
            </w:pPr>
            <w:r w:rsidRPr="005717F8">
              <w:rPr>
                <w:rFonts w:ascii="Times New Roman" w:hAnsi="Times New Roman" w:cs="Times New Roman"/>
                <w:b/>
                <w:szCs w:val="24"/>
              </w:rPr>
              <w:t>Definition</w:t>
            </w:r>
          </w:p>
        </w:tc>
      </w:tr>
      <w:tr w:rsidR="00BA4B19" w14:paraId="5B39B8D9" w14:textId="77777777" w:rsidTr="007D3BE4">
        <w:tblPrEx>
          <w:tblLook w:val="04A0" w:firstRow="1" w:lastRow="0" w:firstColumn="1" w:lastColumn="0" w:noHBand="0" w:noVBand="1"/>
        </w:tblPrEx>
        <w:trPr>
          <w:trHeight w:val="1212"/>
        </w:trPr>
        <w:tc>
          <w:tcPr>
            <w:tcW w:w="846" w:type="dxa"/>
            <w:gridSpan w:val="2"/>
          </w:tcPr>
          <w:p w14:paraId="1E6EE658" w14:textId="77777777" w:rsidR="007D3BE4" w:rsidRPr="005717F8" w:rsidRDefault="00346572" w:rsidP="007D3BE4">
            <w:pPr>
              <w:jc w:val="center"/>
              <w:rPr>
                <w:b/>
              </w:rPr>
            </w:pPr>
            <w:r w:rsidRPr="005717F8">
              <w:rPr>
                <w:b/>
              </w:rPr>
              <w:t>1</w:t>
            </w:r>
          </w:p>
        </w:tc>
        <w:tc>
          <w:tcPr>
            <w:tcW w:w="3279" w:type="dxa"/>
          </w:tcPr>
          <w:p w14:paraId="1F878215" w14:textId="77777777" w:rsidR="007D3BE4" w:rsidRPr="005717F8" w:rsidRDefault="007D3BE4" w:rsidP="007D3BE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C961761" w14:textId="77777777" w:rsidR="007D3BE4" w:rsidRPr="005717F8" w:rsidRDefault="007D3BE4" w:rsidP="007D3BE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50B9D1D" w14:textId="77777777" w:rsidR="007D3BE4" w:rsidRPr="005717F8" w:rsidRDefault="00346572" w:rsidP="007D3BE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17F8">
              <w:rPr>
                <w:rFonts w:ascii="Times New Roman" w:hAnsi="Times New Roman" w:cs="Times New Roman"/>
                <w:szCs w:val="24"/>
              </w:rPr>
              <w:t xml:space="preserve">Antibody </w:t>
            </w:r>
          </w:p>
          <w:p w14:paraId="79970FD6" w14:textId="77777777" w:rsidR="007D3BE4" w:rsidRPr="005717F8" w:rsidRDefault="007D3BE4" w:rsidP="007D3BE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51" w:type="dxa"/>
          </w:tcPr>
          <w:p w14:paraId="33478EB0" w14:textId="77777777" w:rsidR="007D3BE4" w:rsidRPr="005717F8" w:rsidRDefault="00346572" w:rsidP="007D3BE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17F8">
              <w:rPr>
                <w:rFonts w:ascii="Times New Roman" w:hAnsi="Times New Roman" w:cs="Times New Roman"/>
                <w:szCs w:val="24"/>
              </w:rPr>
              <w:t xml:space="preserve">Is a protein that protects the body in response to a foreign  substance and is released by the immune system </w:t>
            </w:r>
          </w:p>
        </w:tc>
      </w:tr>
      <w:tr w:rsidR="00BA4B19" w14:paraId="24D93919" w14:textId="77777777" w:rsidTr="007D3BE4">
        <w:tblPrEx>
          <w:tblLook w:val="04A0" w:firstRow="1" w:lastRow="0" w:firstColumn="1" w:lastColumn="0" w:noHBand="0" w:noVBand="1"/>
        </w:tblPrEx>
        <w:trPr>
          <w:trHeight w:val="1226"/>
        </w:trPr>
        <w:tc>
          <w:tcPr>
            <w:tcW w:w="846" w:type="dxa"/>
            <w:gridSpan w:val="2"/>
          </w:tcPr>
          <w:p w14:paraId="50753E8A" w14:textId="77777777" w:rsidR="007D3BE4" w:rsidRPr="005717F8" w:rsidRDefault="00346572" w:rsidP="007D3BE4">
            <w:pPr>
              <w:jc w:val="center"/>
              <w:rPr>
                <w:b/>
              </w:rPr>
            </w:pPr>
            <w:r w:rsidRPr="005717F8">
              <w:rPr>
                <w:b/>
              </w:rPr>
              <w:t>2</w:t>
            </w:r>
          </w:p>
        </w:tc>
        <w:tc>
          <w:tcPr>
            <w:tcW w:w="3279" w:type="dxa"/>
          </w:tcPr>
          <w:p w14:paraId="3CED0894" w14:textId="77777777" w:rsidR="007D3BE4" w:rsidRPr="005717F8" w:rsidRDefault="00346572" w:rsidP="007D3BE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17F8">
              <w:rPr>
                <w:rFonts w:ascii="Times New Roman" w:hAnsi="Times New Roman" w:cs="Times New Roman"/>
                <w:szCs w:val="24"/>
              </w:rPr>
              <w:t xml:space="preserve">Antigens </w:t>
            </w:r>
          </w:p>
          <w:p w14:paraId="6C6EE470" w14:textId="77777777" w:rsidR="007D3BE4" w:rsidRPr="005717F8" w:rsidRDefault="007D3BE4" w:rsidP="007D3BE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53E923F" w14:textId="77777777" w:rsidR="007D3BE4" w:rsidRPr="005717F8" w:rsidRDefault="007D3BE4" w:rsidP="007D3BE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C7D7AF0" w14:textId="77777777" w:rsidR="007D3BE4" w:rsidRPr="005717F8" w:rsidRDefault="007D3BE4" w:rsidP="007D3BE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51" w:type="dxa"/>
          </w:tcPr>
          <w:p w14:paraId="74E2335C" w14:textId="77777777" w:rsidR="007D3BE4" w:rsidRPr="005717F8" w:rsidRDefault="00346572" w:rsidP="007D3BE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17F8">
              <w:rPr>
                <w:rFonts w:ascii="Times New Roman" w:hAnsi="Times New Roman" w:cs="Times New Roman"/>
                <w:szCs w:val="24"/>
              </w:rPr>
              <w:t>Is a substance that is responsible for inducing the immune response by activating white blood cell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BA4B19" w14:paraId="37B3DFE1" w14:textId="77777777" w:rsidTr="007D3BE4">
        <w:tblPrEx>
          <w:tblLook w:val="04A0" w:firstRow="1" w:lastRow="0" w:firstColumn="1" w:lastColumn="0" w:noHBand="0" w:noVBand="1"/>
        </w:tblPrEx>
        <w:trPr>
          <w:trHeight w:val="1212"/>
        </w:trPr>
        <w:tc>
          <w:tcPr>
            <w:tcW w:w="846" w:type="dxa"/>
            <w:gridSpan w:val="2"/>
          </w:tcPr>
          <w:p w14:paraId="3C70447B" w14:textId="77777777" w:rsidR="007D3BE4" w:rsidRPr="005717F8" w:rsidRDefault="00346572" w:rsidP="007D3BE4">
            <w:pPr>
              <w:jc w:val="center"/>
              <w:rPr>
                <w:b/>
              </w:rPr>
            </w:pPr>
            <w:r w:rsidRPr="005717F8">
              <w:rPr>
                <w:b/>
              </w:rPr>
              <w:t>3</w:t>
            </w:r>
          </w:p>
        </w:tc>
        <w:tc>
          <w:tcPr>
            <w:tcW w:w="3279" w:type="dxa"/>
          </w:tcPr>
          <w:p w14:paraId="39FFF8B4" w14:textId="77777777" w:rsidR="007D3BE4" w:rsidRPr="005717F8" w:rsidRDefault="007D3BE4" w:rsidP="007D3BE4">
            <w:pPr>
              <w:tabs>
                <w:tab w:val="center" w:pos="2148"/>
                <w:tab w:val="left" w:pos="3431"/>
              </w:tabs>
              <w:rPr>
                <w:rFonts w:ascii="Times New Roman" w:hAnsi="Times New Roman" w:cs="Times New Roman"/>
                <w:szCs w:val="24"/>
              </w:rPr>
            </w:pPr>
          </w:p>
          <w:p w14:paraId="2BF4D8F3" w14:textId="77777777" w:rsidR="007D3BE4" w:rsidRPr="005717F8" w:rsidRDefault="00346572" w:rsidP="007D3BE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Viral Neuraminidase </w:t>
            </w:r>
          </w:p>
        </w:tc>
        <w:tc>
          <w:tcPr>
            <w:tcW w:w="5451" w:type="dxa"/>
          </w:tcPr>
          <w:p w14:paraId="6B33A7A9" w14:textId="77777777" w:rsidR="007D3BE4" w:rsidRPr="005717F8" w:rsidRDefault="00346572" w:rsidP="007D3BE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Is an enzyme that is found on the surface of the influenza virus that triggers the release of the virus from the host cell.</w:t>
            </w:r>
          </w:p>
        </w:tc>
      </w:tr>
      <w:tr w:rsidR="00BA4B19" w14:paraId="25879E76" w14:textId="77777777" w:rsidTr="007D3BE4">
        <w:tblPrEx>
          <w:tblLook w:val="04A0" w:firstRow="1" w:lastRow="0" w:firstColumn="1" w:lastColumn="0" w:noHBand="0" w:noVBand="1"/>
        </w:tblPrEx>
        <w:trPr>
          <w:trHeight w:val="1212"/>
        </w:trPr>
        <w:tc>
          <w:tcPr>
            <w:tcW w:w="846" w:type="dxa"/>
            <w:gridSpan w:val="2"/>
          </w:tcPr>
          <w:p w14:paraId="0AA07A5B" w14:textId="77777777" w:rsidR="007D3BE4" w:rsidRPr="005717F8" w:rsidRDefault="00346572" w:rsidP="007D3BE4">
            <w:pPr>
              <w:jc w:val="center"/>
              <w:rPr>
                <w:b/>
              </w:rPr>
            </w:pPr>
            <w:r w:rsidRPr="005717F8">
              <w:rPr>
                <w:b/>
              </w:rPr>
              <w:t>4</w:t>
            </w:r>
          </w:p>
        </w:tc>
        <w:tc>
          <w:tcPr>
            <w:tcW w:w="3279" w:type="dxa"/>
          </w:tcPr>
          <w:p w14:paraId="4982B0B4" w14:textId="77777777" w:rsidR="007D3BE4" w:rsidRPr="005717F8" w:rsidRDefault="007D3BE4" w:rsidP="007D3BE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5C1B359" w14:textId="77777777" w:rsidR="007D3BE4" w:rsidRPr="005717F8" w:rsidRDefault="007D3BE4" w:rsidP="007D3BE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30A1B85" w14:textId="77777777" w:rsidR="007D3BE4" w:rsidRPr="005717F8" w:rsidRDefault="007D3BE4" w:rsidP="007D3BE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5CEB461" w14:textId="77777777" w:rsidR="007D3BE4" w:rsidRPr="005717F8" w:rsidRDefault="00346572" w:rsidP="007D3BE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17F8">
              <w:rPr>
                <w:rFonts w:ascii="Times New Roman" w:hAnsi="Times New Roman" w:cs="Times New Roman"/>
                <w:szCs w:val="24"/>
              </w:rPr>
              <w:t>Hemagglutinin  (HA)</w:t>
            </w:r>
          </w:p>
        </w:tc>
        <w:tc>
          <w:tcPr>
            <w:tcW w:w="5451" w:type="dxa"/>
          </w:tcPr>
          <w:p w14:paraId="35EAB8C4" w14:textId="77777777" w:rsidR="007D3BE4" w:rsidRDefault="00346572" w:rsidP="007D3BE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Is a glycoprotein   which is associated with influenza virus, it's usually found on its surface where it functions as a binding agent  between cell being infected and the virus </w:t>
            </w:r>
          </w:p>
          <w:p w14:paraId="08BF14A4" w14:textId="77777777" w:rsidR="007D3BE4" w:rsidRPr="005717F8" w:rsidRDefault="007D3BE4" w:rsidP="007D3BE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A4B19" w14:paraId="7B202AEA" w14:textId="77777777" w:rsidTr="007D3BE4">
        <w:tblPrEx>
          <w:tblLook w:val="04A0" w:firstRow="1" w:lastRow="0" w:firstColumn="1" w:lastColumn="0" w:noHBand="0" w:noVBand="1"/>
        </w:tblPrEx>
        <w:trPr>
          <w:trHeight w:val="1212"/>
        </w:trPr>
        <w:tc>
          <w:tcPr>
            <w:tcW w:w="846" w:type="dxa"/>
            <w:gridSpan w:val="2"/>
          </w:tcPr>
          <w:p w14:paraId="5ED6E843" w14:textId="77777777" w:rsidR="007D3BE4" w:rsidRPr="005717F8" w:rsidRDefault="00346572" w:rsidP="007D3BE4">
            <w:pPr>
              <w:jc w:val="center"/>
              <w:rPr>
                <w:b/>
              </w:rPr>
            </w:pPr>
            <w:r w:rsidRPr="005717F8">
              <w:rPr>
                <w:b/>
              </w:rPr>
              <w:t>5</w:t>
            </w:r>
          </w:p>
        </w:tc>
        <w:tc>
          <w:tcPr>
            <w:tcW w:w="3279" w:type="dxa"/>
          </w:tcPr>
          <w:p w14:paraId="7599328B" w14:textId="77777777" w:rsidR="007D3BE4" w:rsidRPr="005717F8" w:rsidRDefault="007D3BE4" w:rsidP="007D3BE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1350765" w14:textId="77777777" w:rsidR="007D3BE4" w:rsidRPr="005717F8" w:rsidRDefault="007D3BE4" w:rsidP="007D3BE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A695BC6" w14:textId="77777777" w:rsidR="007D3BE4" w:rsidRPr="005717F8" w:rsidRDefault="00346572" w:rsidP="007D3BE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17F8">
              <w:rPr>
                <w:rFonts w:ascii="Times New Roman" w:hAnsi="Times New Roman" w:cs="Times New Roman"/>
                <w:szCs w:val="24"/>
              </w:rPr>
              <w:t>Glycoprotein</w:t>
            </w:r>
          </w:p>
          <w:p w14:paraId="76F2899A" w14:textId="77777777" w:rsidR="007D3BE4" w:rsidRPr="005717F8" w:rsidRDefault="007D3BE4" w:rsidP="007D3BE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51" w:type="dxa"/>
          </w:tcPr>
          <w:p w14:paraId="5195CE82" w14:textId="77777777" w:rsidR="007D3BE4" w:rsidRPr="005717F8" w:rsidRDefault="00346572" w:rsidP="007D3BE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Are molecules that consist of the carbohydrate and proteins chain in their structure and are taking part in various physiological activities in the body such as immunity.</w:t>
            </w:r>
          </w:p>
        </w:tc>
      </w:tr>
    </w:tbl>
    <w:p w14:paraId="1C1B3D1C" w14:textId="77777777" w:rsidR="00B57DE2" w:rsidRDefault="00B57DE2">
      <w:pPr>
        <w:rPr>
          <w:rFonts w:ascii="Times New Roman" w:hAnsi="Times New Roman" w:cs="Times New Roman"/>
          <w:sz w:val="24"/>
          <w:szCs w:val="24"/>
        </w:rPr>
      </w:pPr>
    </w:p>
    <w:p w14:paraId="5C041670" w14:textId="77777777" w:rsidR="007D3BE4" w:rsidRPr="005717F8" w:rsidRDefault="007D3BE4" w:rsidP="007D3BE4">
      <w:pPr>
        <w:jc w:val="center"/>
        <w:rPr>
          <w:b/>
        </w:rPr>
      </w:pPr>
    </w:p>
    <w:p w14:paraId="23DDBA87" w14:textId="77777777" w:rsidR="007D3BE4" w:rsidRDefault="007D3BE4">
      <w:pPr>
        <w:rPr>
          <w:rFonts w:ascii="Times New Roman" w:hAnsi="Times New Roman" w:cs="Times New Roman"/>
          <w:sz w:val="24"/>
          <w:szCs w:val="24"/>
        </w:rPr>
      </w:pPr>
    </w:p>
    <w:p w14:paraId="0C499FD8" w14:textId="77777777" w:rsidR="007D3BE4" w:rsidRDefault="007D3BE4">
      <w:pPr>
        <w:rPr>
          <w:rFonts w:ascii="Times New Roman" w:hAnsi="Times New Roman" w:cs="Times New Roman"/>
          <w:sz w:val="24"/>
          <w:szCs w:val="24"/>
        </w:rPr>
      </w:pPr>
    </w:p>
    <w:p w14:paraId="7F85C9ED" w14:textId="77777777" w:rsidR="007D3BE4" w:rsidRDefault="007D3BE4">
      <w:pPr>
        <w:rPr>
          <w:rFonts w:ascii="Times New Roman" w:hAnsi="Times New Roman" w:cs="Times New Roman"/>
          <w:sz w:val="24"/>
          <w:szCs w:val="24"/>
        </w:rPr>
      </w:pPr>
    </w:p>
    <w:p w14:paraId="4AA08C99" w14:textId="77777777" w:rsidR="007D3BE4" w:rsidRDefault="007D3BE4">
      <w:pPr>
        <w:rPr>
          <w:rFonts w:ascii="Times New Roman" w:hAnsi="Times New Roman" w:cs="Times New Roman"/>
          <w:sz w:val="24"/>
          <w:szCs w:val="24"/>
        </w:rPr>
      </w:pPr>
    </w:p>
    <w:p w14:paraId="0C3E9B08" w14:textId="77777777" w:rsidR="007D3BE4" w:rsidRDefault="007D3BE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800" w:type="dxa"/>
        <w:tblInd w:w="-432" w:type="dxa"/>
        <w:tblLook w:val="04A0" w:firstRow="1" w:lastRow="0" w:firstColumn="1" w:lastColumn="0" w:noHBand="0" w:noVBand="1"/>
      </w:tblPr>
      <w:tblGrid>
        <w:gridCol w:w="857"/>
        <w:gridCol w:w="2672"/>
        <w:gridCol w:w="4211"/>
        <w:gridCol w:w="3060"/>
      </w:tblGrid>
      <w:tr w:rsidR="00BA4B19" w14:paraId="06074A79" w14:textId="77777777" w:rsidTr="00426758">
        <w:trPr>
          <w:trHeight w:val="386"/>
        </w:trPr>
        <w:tc>
          <w:tcPr>
            <w:tcW w:w="857" w:type="dxa"/>
          </w:tcPr>
          <w:p w14:paraId="58CE4664" w14:textId="77777777" w:rsidR="007D3BE4" w:rsidRDefault="007D3BE4" w:rsidP="008263C4"/>
        </w:tc>
        <w:tc>
          <w:tcPr>
            <w:tcW w:w="2672" w:type="dxa"/>
          </w:tcPr>
          <w:p w14:paraId="7C6F44EA" w14:textId="77777777" w:rsidR="007D3BE4" w:rsidRPr="0016576F" w:rsidRDefault="00346572" w:rsidP="008263C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576F">
              <w:rPr>
                <w:rFonts w:ascii="Times New Roman" w:hAnsi="Times New Roman" w:cs="Times New Roman"/>
                <w:b/>
                <w:szCs w:val="24"/>
              </w:rPr>
              <w:t xml:space="preserve">Scientific concept </w:t>
            </w:r>
          </w:p>
        </w:tc>
        <w:tc>
          <w:tcPr>
            <w:tcW w:w="4211" w:type="dxa"/>
          </w:tcPr>
          <w:p w14:paraId="53B3B600" w14:textId="77777777" w:rsidR="007D3BE4" w:rsidRPr="0016576F" w:rsidRDefault="00346572" w:rsidP="001A7596">
            <w:pPr>
              <w:tabs>
                <w:tab w:val="right" w:pos="3995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16576F">
              <w:rPr>
                <w:rFonts w:ascii="Times New Roman" w:hAnsi="Times New Roman" w:cs="Times New Roman"/>
                <w:b/>
                <w:szCs w:val="24"/>
              </w:rPr>
              <w:t xml:space="preserve">Brief explanation </w:t>
            </w:r>
            <w:r w:rsidR="001A7596" w:rsidRPr="0016576F">
              <w:rPr>
                <w:rFonts w:ascii="Times New Roman" w:hAnsi="Times New Roman" w:cs="Times New Roman"/>
                <w:b/>
                <w:szCs w:val="24"/>
              </w:rPr>
              <w:tab/>
            </w:r>
          </w:p>
        </w:tc>
        <w:tc>
          <w:tcPr>
            <w:tcW w:w="3060" w:type="dxa"/>
          </w:tcPr>
          <w:p w14:paraId="3059F48B" w14:textId="77777777" w:rsidR="007D3BE4" w:rsidRPr="0016576F" w:rsidRDefault="00346572" w:rsidP="008263C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576F">
              <w:rPr>
                <w:rFonts w:ascii="Times New Roman" w:hAnsi="Times New Roman" w:cs="Times New Roman"/>
                <w:b/>
                <w:szCs w:val="24"/>
              </w:rPr>
              <w:t xml:space="preserve">Citation </w:t>
            </w:r>
          </w:p>
        </w:tc>
      </w:tr>
      <w:tr w:rsidR="00BA4B19" w:rsidRPr="000E31CB" w14:paraId="42848B89" w14:textId="77777777" w:rsidTr="00426758">
        <w:trPr>
          <w:trHeight w:val="2384"/>
        </w:trPr>
        <w:tc>
          <w:tcPr>
            <w:tcW w:w="857" w:type="dxa"/>
          </w:tcPr>
          <w:p w14:paraId="60C0AC7E" w14:textId="77777777" w:rsidR="007D3BE4" w:rsidRPr="00612950" w:rsidRDefault="00346572" w:rsidP="008263C4">
            <w:pPr>
              <w:rPr>
                <w:rFonts w:ascii="Times New Roman" w:hAnsi="Times New Roman" w:cs="Times New Roman"/>
              </w:rPr>
            </w:pPr>
            <w:r w:rsidRPr="0061295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72" w:type="dxa"/>
          </w:tcPr>
          <w:p w14:paraId="5AA641E0" w14:textId="77777777" w:rsidR="007D3BE4" w:rsidRPr="0016576F" w:rsidRDefault="007D3BE4" w:rsidP="008263C4">
            <w:pPr>
              <w:rPr>
                <w:rFonts w:ascii="Times New Roman" w:hAnsi="Times New Roman" w:cs="Times New Roman"/>
                <w:szCs w:val="24"/>
              </w:rPr>
            </w:pPr>
          </w:p>
          <w:p w14:paraId="373A21FD" w14:textId="77777777" w:rsidR="007D3BE4" w:rsidRPr="0016576F" w:rsidRDefault="00346572" w:rsidP="008263C4">
            <w:pPr>
              <w:rPr>
                <w:rFonts w:ascii="Times New Roman" w:hAnsi="Times New Roman" w:cs="Times New Roman"/>
                <w:szCs w:val="24"/>
              </w:rPr>
            </w:pPr>
            <w:r w:rsidRPr="0016576F">
              <w:rPr>
                <w:rFonts w:ascii="Times New Roman" w:hAnsi="Times New Roman" w:cs="Times New Roman"/>
                <w:szCs w:val="24"/>
              </w:rPr>
              <w:t xml:space="preserve">Antibody immunodominance </w:t>
            </w:r>
          </w:p>
          <w:p w14:paraId="4C36CB2A" w14:textId="77777777" w:rsidR="007D3BE4" w:rsidRPr="0016576F" w:rsidRDefault="007D3BE4" w:rsidP="008263C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1" w:type="dxa"/>
          </w:tcPr>
          <w:p w14:paraId="6D1CE571" w14:textId="77777777" w:rsidR="007D3BE4" w:rsidRPr="0016576F" w:rsidRDefault="00346572" w:rsidP="008263C4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6576F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is an immunological phenomenon in which the immune response aims at some peptide of class 1 complexes only despites major histocompatibility complexes which expressed by host cells and the ability to generate many antigenic peptides which are recognized during the </w:t>
            </w:r>
            <w:r w:rsidR="003219F0" w:rsidRPr="0016576F">
              <w:rPr>
                <w:rFonts w:ascii="Times New Roman" w:hAnsi="Times New Roman" w:cs="Times New Roman"/>
                <w:color w:val="000000" w:themeColor="text1"/>
                <w:szCs w:val="24"/>
              </w:rPr>
              <w:t>infection. Antiviral</w:t>
            </w:r>
            <w:r w:rsidR="009A255B" w:rsidRPr="0016576F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T cells are recognized by the response of CD8 T Cells. There is a need </w:t>
            </w:r>
            <w:r w:rsidR="00426758" w:rsidRPr="0016576F">
              <w:rPr>
                <w:rFonts w:ascii="Times New Roman" w:hAnsi="Times New Roman" w:cs="Times New Roman"/>
                <w:color w:val="000000" w:themeColor="text1"/>
                <w:szCs w:val="24"/>
              </w:rPr>
              <w:t>for research</w:t>
            </w:r>
            <w:r w:rsidR="009A255B" w:rsidRPr="0016576F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to be done based on the recognition of the T cell ID, </w:t>
            </w:r>
            <w:r w:rsidR="00426758" w:rsidRPr="0016576F">
              <w:rPr>
                <w:rFonts w:ascii="Times New Roman" w:hAnsi="Times New Roman" w:cs="Times New Roman"/>
                <w:color w:val="000000" w:themeColor="text1"/>
                <w:szCs w:val="24"/>
              </w:rPr>
              <w:t>however, factors</w:t>
            </w:r>
            <w:r w:rsidR="009A255B" w:rsidRPr="0016576F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="00426758" w:rsidRPr="0016576F">
              <w:rPr>
                <w:rFonts w:ascii="Times New Roman" w:hAnsi="Times New Roman" w:cs="Times New Roman"/>
                <w:color w:val="000000" w:themeColor="text1"/>
                <w:szCs w:val="24"/>
              </w:rPr>
              <w:t>and the characteristics that lead to CD8+ cells have already been identified.</w:t>
            </w:r>
          </w:p>
        </w:tc>
        <w:tc>
          <w:tcPr>
            <w:tcW w:w="3060" w:type="dxa"/>
          </w:tcPr>
          <w:p w14:paraId="089B226E" w14:textId="77777777" w:rsidR="007D3BE4" w:rsidRPr="0016576F" w:rsidRDefault="00346572" w:rsidP="008263C4">
            <w:pPr>
              <w:rPr>
                <w:rFonts w:ascii="Times New Roman" w:hAnsi="Times New Roman" w:cs="Times New Roman"/>
                <w:szCs w:val="24"/>
              </w:rPr>
            </w:pPr>
            <w:r w:rsidRPr="0016576F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>Angeletti, Davide, and Jonathan W. Yewdell. "Understanding and manipulating viral immunity: antibody immunodominance enters center stage." </w:t>
            </w:r>
            <w:r w:rsidRPr="0016576F">
              <w:rPr>
                <w:rFonts w:ascii="Times New Roman" w:hAnsi="Times New Roman" w:cs="Times New Roman"/>
                <w:i/>
                <w:iCs/>
                <w:color w:val="222222"/>
                <w:szCs w:val="24"/>
                <w:shd w:val="clear" w:color="auto" w:fill="FFFFFF"/>
              </w:rPr>
              <w:t>Trends in immunology</w:t>
            </w:r>
            <w:r w:rsidRPr="0016576F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> 39.7 (2018): 549-561.</w:t>
            </w:r>
          </w:p>
        </w:tc>
      </w:tr>
      <w:tr w:rsidR="00BA4B19" w:rsidRPr="00612950" w14:paraId="1990C4F6" w14:textId="77777777" w:rsidTr="00426758">
        <w:tc>
          <w:tcPr>
            <w:tcW w:w="857" w:type="dxa"/>
          </w:tcPr>
          <w:p w14:paraId="71E9DBBC" w14:textId="77777777" w:rsidR="007D3BE4" w:rsidRPr="00612950" w:rsidRDefault="00346572" w:rsidP="008263C4">
            <w:pPr>
              <w:rPr>
                <w:rFonts w:ascii="Times New Roman" w:hAnsi="Times New Roman" w:cs="Times New Roman"/>
              </w:rPr>
            </w:pPr>
            <w:r w:rsidRPr="006129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2" w:type="dxa"/>
          </w:tcPr>
          <w:p w14:paraId="339FBAC0" w14:textId="77777777" w:rsidR="007D3BE4" w:rsidRPr="00612950" w:rsidRDefault="007D3BE4" w:rsidP="008263C4">
            <w:pPr>
              <w:rPr>
                <w:rFonts w:ascii="Times New Roman" w:hAnsi="Times New Roman" w:cs="Times New Roman"/>
              </w:rPr>
            </w:pPr>
          </w:p>
          <w:p w14:paraId="11CC308B" w14:textId="77777777" w:rsidR="007D3BE4" w:rsidRPr="00612950" w:rsidRDefault="00346572" w:rsidP="008263C4">
            <w:pPr>
              <w:rPr>
                <w:rFonts w:ascii="Times New Roman" w:hAnsi="Times New Roman" w:cs="Times New Roman"/>
              </w:rPr>
            </w:pPr>
            <w:r w:rsidRPr="00612950">
              <w:rPr>
                <w:rFonts w:ascii="Times New Roman" w:hAnsi="Times New Roman" w:cs="Times New Roman"/>
              </w:rPr>
              <w:t>Site-specific antibody activity</w:t>
            </w:r>
          </w:p>
          <w:p w14:paraId="616F0156" w14:textId="77777777" w:rsidR="007D3BE4" w:rsidRPr="00612950" w:rsidRDefault="007D3BE4" w:rsidP="00826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1" w:type="dxa"/>
          </w:tcPr>
          <w:p w14:paraId="7A932CF6" w14:textId="016BBCD2" w:rsidR="00DA47D8" w:rsidRPr="00612950" w:rsidRDefault="00346572" w:rsidP="008263C4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12950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It is determined by taking the number </w:t>
            </w:r>
            <w:r w:rsidR="00CC0B97">
              <w:rPr>
                <w:rFonts w:ascii="Times New Roman" w:hAnsi="Times New Roman" w:cs="Times New Roman"/>
                <w:color w:val="000000" w:themeColor="text1"/>
                <w:szCs w:val="24"/>
              </w:rPr>
              <w:t>o</w:t>
            </w:r>
            <w:r w:rsidRPr="00612950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f the enzyme unit in one millimeter and divided by the concentration in millimeter f the protein which the enzyme is going to work Upton. Antibodies identified by </w:t>
            </w:r>
            <w:r w:rsidR="008A4822" w:rsidRPr="00612950">
              <w:rPr>
                <w:rFonts w:ascii="Times New Roman" w:hAnsi="Times New Roman" w:cs="Times New Roman"/>
                <w:color w:val="000000" w:themeColor="text1"/>
                <w:szCs w:val="24"/>
              </w:rPr>
              <w:t>the</w:t>
            </w:r>
            <w:r w:rsidRPr="00612950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mutant which is highlighted by the </w:t>
            </w:r>
            <w:r w:rsidR="008A4822" w:rsidRPr="00612950">
              <w:rPr>
                <w:rFonts w:ascii="Times New Roman" w:hAnsi="Times New Roman" w:cs="Times New Roman"/>
                <w:color w:val="000000" w:themeColor="text1"/>
                <w:szCs w:val="24"/>
              </w:rPr>
              <w:t>Sb specific</w:t>
            </w:r>
            <w:r w:rsidRPr="00612950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m</w:t>
            </w:r>
            <w:r w:rsidR="006F0477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onoclonal </w:t>
            </w:r>
            <w:r w:rsidR="003219F0">
              <w:rPr>
                <w:rFonts w:ascii="Times New Roman" w:hAnsi="Times New Roman" w:cs="Times New Roman"/>
                <w:color w:val="000000" w:themeColor="text1"/>
                <w:szCs w:val="24"/>
              </w:rPr>
              <w:t>antibodies (Abs</w:t>
            </w:r>
            <w:r w:rsidR="006F0477">
              <w:rPr>
                <w:rFonts w:ascii="Times New Roman" w:hAnsi="Times New Roman" w:cs="Times New Roman"/>
                <w:color w:val="000000" w:themeColor="text1"/>
                <w:szCs w:val="24"/>
              </w:rPr>
              <w:t>)</w:t>
            </w:r>
            <w:r w:rsidRPr="00612950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that is responsible for high efficiency with the HI</w:t>
            </w:r>
            <w:r w:rsidR="00A4425C">
              <w:rPr>
                <w:rFonts w:ascii="Times New Roman" w:hAnsi="Times New Roman" w:cs="Times New Roman"/>
                <w:color w:val="000000" w:themeColor="text1"/>
                <w:szCs w:val="24"/>
              </w:rPr>
              <w:t>.</w:t>
            </w:r>
            <w:r w:rsidR="008A4822" w:rsidRPr="00612950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T</w:t>
            </w:r>
            <w:r w:rsidRPr="00612950">
              <w:rPr>
                <w:rFonts w:ascii="Times New Roman" w:hAnsi="Times New Roman" w:cs="Times New Roman"/>
                <w:color w:val="000000" w:themeColor="text1"/>
                <w:szCs w:val="24"/>
              </w:rPr>
              <w:t>he</w:t>
            </w:r>
            <w:r w:rsidR="008A4822" w:rsidRPr="00612950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612950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class of the </w:t>
            </w:r>
            <w:r w:rsidR="008A4822" w:rsidRPr="00612950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Sb antibody which is not present in the mAb panel binds to the site of antigenic </w:t>
            </w:r>
            <w:r w:rsidR="00B62EA1" w:rsidRPr="00612950">
              <w:rPr>
                <w:rFonts w:ascii="Times New Roman" w:hAnsi="Times New Roman" w:cs="Times New Roman"/>
                <w:color w:val="000000" w:themeColor="text1"/>
                <w:szCs w:val="24"/>
              </w:rPr>
              <w:t>of the Sb nearing the neighboring promoters.</w:t>
            </w:r>
          </w:p>
        </w:tc>
        <w:tc>
          <w:tcPr>
            <w:tcW w:w="3060" w:type="dxa"/>
          </w:tcPr>
          <w:p w14:paraId="7B30C8B5" w14:textId="77777777" w:rsidR="007D3BE4" w:rsidRPr="00612950" w:rsidRDefault="00346572" w:rsidP="008263C4">
            <w:pPr>
              <w:rPr>
                <w:rFonts w:ascii="Times New Roman" w:hAnsi="Times New Roman" w:cs="Times New Roman"/>
                <w:szCs w:val="24"/>
              </w:rPr>
            </w:pPr>
            <w:r w:rsidRPr="00612950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>Erster, Oran, et al. "Site-specific targeting of antibody activity in vivo mediated by disease-associated proteases." </w:t>
            </w:r>
            <w:r w:rsidRPr="00612950">
              <w:rPr>
                <w:rFonts w:ascii="Times New Roman" w:hAnsi="Times New Roman" w:cs="Times New Roman"/>
                <w:i/>
                <w:iCs/>
                <w:color w:val="222222"/>
                <w:szCs w:val="24"/>
                <w:shd w:val="clear" w:color="auto" w:fill="FFFFFF"/>
              </w:rPr>
              <w:t>Journal of controlled release</w:t>
            </w:r>
            <w:r w:rsidRPr="00612950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> 161.3 (2012): 804-812.</w:t>
            </w:r>
          </w:p>
        </w:tc>
      </w:tr>
      <w:tr w:rsidR="00BA4B19" w:rsidRPr="00612950" w14:paraId="18A6EABD" w14:textId="77777777" w:rsidTr="00426758">
        <w:tc>
          <w:tcPr>
            <w:tcW w:w="857" w:type="dxa"/>
          </w:tcPr>
          <w:p w14:paraId="61E0D8EC" w14:textId="77777777" w:rsidR="007D3BE4" w:rsidRPr="00612950" w:rsidRDefault="00346572" w:rsidP="008263C4">
            <w:pPr>
              <w:rPr>
                <w:rFonts w:ascii="Times New Roman" w:hAnsi="Times New Roman" w:cs="Times New Roman"/>
              </w:rPr>
            </w:pPr>
            <w:r w:rsidRPr="006129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2" w:type="dxa"/>
          </w:tcPr>
          <w:p w14:paraId="09EEC17C" w14:textId="77777777" w:rsidR="007D3BE4" w:rsidRPr="00612950" w:rsidRDefault="007D3BE4" w:rsidP="008263C4">
            <w:pPr>
              <w:rPr>
                <w:rFonts w:ascii="Times New Roman" w:hAnsi="Times New Roman" w:cs="Times New Roman"/>
              </w:rPr>
            </w:pPr>
          </w:p>
          <w:p w14:paraId="27816D2B" w14:textId="77777777" w:rsidR="007D3BE4" w:rsidRPr="00612950" w:rsidRDefault="00346572" w:rsidP="008263C4">
            <w:pPr>
              <w:rPr>
                <w:rFonts w:ascii="Times New Roman" w:hAnsi="Times New Roman" w:cs="Times New Roman"/>
              </w:rPr>
            </w:pPr>
            <w:r w:rsidRPr="00612950">
              <w:rPr>
                <w:rFonts w:ascii="Times New Roman" w:hAnsi="Times New Roman" w:cs="Times New Roman"/>
              </w:rPr>
              <w:t>The initial ID hierarchy is not dependent on CD4 cells</w:t>
            </w:r>
          </w:p>
          <w:p w14:paraId="2B45CA29" w14:textId="77777777" w:rsidR="007D3BE4" w:rsidRPr="00612950" w:rsidRDefault="007D3BE4" w:rsidP="00826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1" w:type="dxa"/>
          </w:tcPr>
          <w:p w14:paraId="2F6961EF" w14:textId="77777777" w:rsidR="007D3BE4" w:rsidRPr="00612950" w:rsidRDefault="00346572" w:rsidP="008263C4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12950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The depletion of the CD4cells   caused antibody response to intraperitoneal immunization to reduce associated with lack of formation of Gc class resulting to reduction of antibody </w:t>
            </w:r>
            <w:r w:rsidR="003219F0" w:rsidRPr="00612950">
              <w:rPr>
                <w:rFonts w:ascii="Times New Roman" w:hAnsi="Times New Roman" w:cs="Times New Roman"/>
                <w:color w:val="000000" w:themeColor="text1"/>
                <w:szCs w:val="24"/>
              </w:rPr>
              <w:t>titers. The</w:t>
            </w:r>
            <w:r w:rsidRPr="00612950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initial hierarchy was mostly  created by the expansion of B cell  which depends on the T Cells</w:t>
            </w:r>
          </w:p>
        </w:tc>
        <w:tc>
          <w:tcPr>
            <w:tcW w:w="3060" w:type="dxa"/>
          </w:tcPr>
          <w:p w14:paraId="78DEDBE5" w14:textId="77777777" w:rsidR="007D3BE4" w:rsidRPr="00612950" w:rsidRDefault="00346572" w:rsidP="008263C4">
            <w:pPr>
              <w:rPr>
                <w:rFonts w:ascii="Times New Roman" w:hAnsi="Times New Roman" w:cs="Times New Roman"/>
                <w:szCs w:val="24"/>
              </w:rPr>
            </w:pPr>
            <w:r w:rsidRPr="00612950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>Wambre, Erik, et al. "Specific immunotherapy modifies allergen-specific CD4+ T-cell responses in an epitope-dependent manner." </w:t>
            </w:r>
            <w:r w:rsidRPr="00612950">
              <w:rPr>
                <w:rFonts w:ascii="Times New Roman" w:hAnsi="Times New Roman" w:cs="Times New Roman"/>
                <w:i/>
                <w:iCs/>
                <w:color w:val="222222"/>
                <w:szCs w:val="24"/>
                <w:shd w:val="clear" w:color="auto" w:fill="FFFFFF"/>
              </w:rPr>
              <w:t>Journal of Allergy and Clinical Immunology</w:t>
            </w:r>
            <w:r w:rsidRPr="00612950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> 133.3 (2014): 872-879.</w:t>
            </w:r>
          </w:p>
        </w:tc>
      </w:tr>
    </w:tbl>
    <w:p w14:paraId="56880297" w14:textId="77777777" w:rsidR="007112E6" w:rsidRDefault="007112E6" w:rsidP="007112E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D841F5" w14:textId="77777777" w:rsidR="00494DF5" w:rsidRDefault="007112E6" w:rsidP="007112E6">
      <w:pPr>
        <w:jc w:val="center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Work cited</w:t>
      </w:r>
      <w:r>
        <w:rPr>
          <w:rFonts w:ascii="Times New Roman" w:hAnsi="Times New Roman" w:cs="Times New Roman"/>
          <w:sz w:val="24"/>
          <w:szCs w:val="24"/>
        </w:rPr>
        <w:br/>
      </w:r>
      <w:r w:rsidRPr="0016576F">
        <w:rPr>
          <w:rFonts w:ascii="Times New Roman" w:hAnsi="Times New Roman" w:cs="Times New Roman"/>
          <w:color w:val="222222"/>
          <w:szCs w:val="24"/>
          <w:shd w:val="clear" w:color="auto" w:fill="FFFFFF"/>
        </w:rPr>
        <w:t>Angeletti, Davide, and Jonathan W. Yewdell. "Understanding and manipulating viral immunity: antibody immunodominance enters center stage." </w:t>
      </w:r>
      <w:r w:rsidRPr="0016576F">
        <w:rPr>
          <w:rFonts w:ascii="Times New Roman" w:hAnsi="Times New Roman" w:cs="Times New Roman"/>
          <w:i/>
          <w:iCs/>
          <w:color w:val="222222"/>
          <w:szCs w:val="24"/>
          <w:shd w:val="clear" w:color="auto" w:fill="FFFFFF"/>
        </w:rPr>
        <w:t>Trends in immunology</w:t>
      </w:r>
      <w:r w:rsidRPr="0016576F">
        <w:rPr>
          <w:rFonts w:ascii="Times New Roman" w:hAnsi="Times New Roman" w:cs="Times New Roman"/>
          <w:color w:val="222222"/>
          <w:szCs w:val="24"/>
          <w:shd w:val="clear" w:color="auto" w:fill="FFFFFF"/>
        </w:rPr>
        <w:t> 39.7 (2018): 549-561.</w:t>
      </w:r>
    </w:p>
    <w:p w14:paraId="15672B73" w14:textId="77777777" w:rsidR="007112E6" w:rsidRDefault="007112E6" w:rsidP="007112E6">
      <w:pPr>
        <w:jc w:val="center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612950">
        <w:rPr>
          <w:rFonts w:ascii="Times New Roman" w:hAnsi="Times New Roman" w:cs="Times New Roman"/>
          <w:color w:val="222222"/>
          <w:szCs w:val="24"/>
          <w:shd w:val="clear" w:color="auto" w:fill="FFFFFF"/>
        </w:rPr>
        <w:t>Erster, Oran, et al. "Site-specific targeting of antibody activity in vivo mediated by disease-associated proteases." </w:t>
      </w:r>
      <w:r w:rsidRPr="00612950">
        <w:rPr>
          <w:rFonts w:ascii="Times New Roman" w:hAnsi="Times New Roman" w:cs="Times New Roman"/>
          <w:i/>
          <w:iCs/>
          <w:color w:val="222222"/>
          <w:szCs w:val="24"/>
          <w:shd w:val="clear" w:color="auto" w:fill="FFFFFF"/>
        </w:rPr>
        <w:t>Journal of controlled release</w:t>
      </w:r>
      <w:r w:rsidRPr="00612950">
        <w:rPr>
          <w:rFonts w:ascii="Times New Roman" w:hAnsi="Times New Roman" w:cs="Times New Roman"/>
          <w:color w:val="222222"/>
          <w:szCs w:val="24"/>
          <w:shd w:val="clear" w:color="auto" w:fill="FFFFFF"/>
        </w:rPr>
        <w:t> 161.3 (2012): 804-</w:t>
      </w:r>
      <w:r>
        <w:rPr>
          <w:rFonts w:ascii="Times New Roman" w:hAnsi="Times New Roman" w:cs="Times New Roman"/>
          <w:color w:val="222222"/>
          <w:szCs w:val="24"/>
          <w:shd w:val="clear" w:color="auto" w:fill="FFFFFF"/>
        </w:rPr>
        <w:t>812</w:t>
      </w:r>
    </w:p>
    <w:p w14:paraId="31FA8D48" w14:textId="77777777" w:rsidR="007112E6" w:rsidRPr="00612950" w:rsidRDefault="007112E6" w:rsidP="007112E6">
      <w:pPr>
        <w:jc w:val="center"/>
        <w:rPr>
          <w:rFonts w:ascii="Times New Roman" w:hAnsi="Times New Roman" w:cs="Times New Roman"/>
          <w:sz w:val="24"/>
          <w:szCs w:val="24"/>
        </w:rPr>
      </w:pPr>
      <w:r w:rsidRPr="00612950">
        <w:rPr>
          <w:rFonts w:ascii="Times New Roman" w:hAnsi="Times New Roman" w:cs="Times New Roman"/>
          <w:color w:val="222222"/>
          <w:szCs w:val="24"/>
          <w:shd w:val="clear" w:color="auto" w:fill="FFFFFF"/>
        </w:rPr>
        <w:t>Wambre, Erik, et al. "Specific immunotherapy modifies allergen-specific CD4+ T-cell responses in an epitope-dependent manner." </w:t>
      </w:r>
      <w:r w:rsidRPr="00612950">
        <w:rPr>
          <w:rFonts w:ascii="Times New Roman" w:hAnsi="Times New Roman" w:cs="Times New Roman"/>
          <w:i/>
          <w:iCs/>
          <w:color w:val="222222"/>
          <w:szCs w:val="24"/>
          <w:shd w:val="clear" w:color="auto" w:fill="FFFFFF"/>
        </w:rPr>
        <w:t>Journal of Allergy and Clinical Immunology</w:t>
      </w:r>
      <w:r w:rsidRPr="00612950">
        <w:rPr>
          <w:rFonts w:ascii="Times New Roman" w:hAnsi="Times New Roman" w:cs="Times New Roman"/>
          <w:color w:val="222222"/>
          <w:szCs w:val="24"/>
          <w:shd w:val="clear" w:color="auto" w:fill="FFFFFF"/>
        </w:rPr>
        <w:t> 133.3 (2014): 872-879.</w:t>
      </w:r>
    </w:p>
    <w:p w14:paraId="740AC6F7" w14:textId="77777777" w:rsidR="007112E6" w:rsidRPr="00612950" w:rsidRDefault="007112E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112E6" w:rsidRPr="00612950" w:rsidSect="00C97DA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DD33D" w14:textId="77777777" w:rsidR="00002337" w:rsidRDefault="00002337" w:rsidP="00BA4B19">
      <w:pPr>
        <w:spacing w:after="0" w:line="240" w:lineRule="auto"/>
      </w:pPr>
      <w:r>
        <w:separator/>
      </w:r>
    </w:p>
  </w:endnote>
  <w:endnote w:type="continuationSeparator" w:id="0">
    <w:p w14:paraId="2A2D6555" w14:textId="77777777" w:rsidR="00002337" w:rsidRDefault="00002337" w:rsidP="00BA4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5FEC1" w14:textId="77777777" w:rsidR="00002337" w:rsidRDefault="00002337" w:rsidP="00BA4B19">
      <w:pPr>
        <w:spacing w:after="0" w:line="240" w:lineRule="auto"/>
      </w:pPr>
      <w:r>
        <w:separator/>
      </w:r>
    </w:p>
  </w:footnote>
  <w:footnote w:type="continuationSeparator" w:id="0">
    <w:p w14:paraId="10408CC5" w14:textId="77777777" w:rsidR="00002337" w:rsidRDefault="00002337" w:rsidP="00BA4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082829"/>
      <w:docPartObj>
        <w:docPartGallery w:val="Page Numbers (Top of Page)"/>
        <w:docPartUnique/>
      </w:docPartObj>
    </w:sdtPr>
    <w:sdtEndPr/>
    <w:sdtContent>
      <w:p w14:paraId="21719129" w14:textId="67E785EE" w:rsidR="00B57DE2" w:rsidRDefault="00346572">
        <w:pPr>
          <w:pStyle w:val="Header"/>
          <w:jc w:val="right"/>
        </w:pPr>
        <w:r>
          <w:t xml:space="preserve"> </w:t>
        </w:r>
        <w:r w:rsidR="00572352">
          <w:rPr>
            <w:noProof/>
          </w:rPr>
          <w:t>1</w:t>
        </w:r>
      </w:p>
    </w:sdtContent>
  </w:sdt>
  <w:p w14:paraId="1CDA9868" w14:textId="77777777" w:rsidR="00B57DE2" w:rsidRDefault="00B57D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7DE2"/>
    <w:rsid w:val="00002337"/>
    <w:rsid w:val="000933DF"/>
    <w:rsid w:val="000E31CB"/>
    <w:rsid w:val="0016576F"/>
    <w:rsid w:val="001A7596"/>
    <w:rsid w:val="00287EA4"/>
    <w:rsid w:val="002E59ED"/>
    <w:rsid w:val="00306618"/>
    <w:rsid w:val="003219F0"/>
    <w:rsid w:val="00346572"/>
    <w:rsid w:val="00426428"/>
    <w:rsid w:val="00426758"/>
    <w:rsid w:val="00494DF5"/>
    <w:rsid w:val="005010EA"/>
    <w:rsid w:val="005717F8"/>
    <w:rsid w:val="00572352"/>
    <w:rsid w:val="00612950"/>
    <w:rsid w:val="006A1E1B"/>
    <w:rsid w:val="006F0477"/>
    <w:rsid w:val="007112E6"/>
    <w:rsid w:val="0074272B"/>
    <w:rsid w:val="007432AB"/>
    <w:rsid w:val="007B776C"/>
    <w:rsid w:val="007D3BE4"/>
    <w:rsid w:val="008263C4"/>
    <w:rsid w:val="008A4822"/>
    <w:rsid w:val="008A7B37"/>
    <w:rsid w:val="009A255B"/>
    <w:rsid w:val="00A4425C"/>
    <w:rsid w:val="00B57DE2"/>
    <w:rsid w:val="00B62EA1"/>
    <w:rsid w:val="00BA4B19"/>
    <w:rsid w:val="00C35436"/>
    <w:rsid w:val="00C8358E"/>
    <w:rsid w:val="00C97DA8"/>
    <w:rsid w:val="00CC0B97"/>
    <w:rsid w:val="00DA47D8"/>
    <w:rsid w:val="00E36FEE"/>
    <w:rsid w:val="00F80BA5"/>
    <w:rsid w:val="00F8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A19FB"/>
  <w15:docId w15:val="{888D9686-56C9-4F48-B4A8-15FAA254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DE2"/>
  </w:style>
  <w:style w:type="paragraph" w:styleId="Footer">
    <w:name w:val="footer"/>
    <w:basedOn w:val="Normal"/>
    <w:link w:val="FooterChar"/>
    <w:uiPriority w:val="99"/>
    <w:unhideWhenUsed/>
    <w:rsid w:val="00B57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DE2"/>
  </w:style>
  <w:style w:type="table" w:styleId="TableGrid">
    <w:name w:val="Table Grid"/>
    <w:basedOn w:val="TableNormal"/>
    <w:uiPriority w:val="39"/>
    <w:rsid w:val="007D3BE4"/>
    <w:pPr>
      <w:spacing w:after="0" w:line="240" w:lineRule="auto"/>
    </w:pPr>
    <w:rPr>
      <w:rFonts w:ascii="Segoe UI" w:hAnsi="Segoe U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D'Mecia  Harper</cp:lastModifiedBy>
  <cp:revision>27</cp:revision>
  <dcterms:created xsi:type="dcterms:W3CDTF">2021-05-21T06:20:00Z</dcterms:created>
  <dcterms:modified xsi:type="dcterms:W3CDTF">2021-05-22T18:02:00Z</dcterms:modified>
</cp:coreProperties>
</file>