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C7C62" w14:textId="2BBC30EB" w:rsidR="00DD7C0A" w:rsidRDefault="00DD7C0A" w:rsidP="00DD7C0A">
      <w:pPr>
        <w:pStyle w:val="paragraph"/>
        <w:spacing w:before="0" w:beforeAutospacing="0" w:after="0" w:afterAutospacing="0" w:line="360" w:lineRule="auto"/>
        <w:textAlignment w:val="baseline"/>
        <w:rPr>
          <w:rStyle w:val="normaltextrun"/>
          <w:b/>
          <w:bCs/>
        </w:rPr>
      </w:pPr>
      <w:proofErr w:type="spellStart"/>
      <w:r>
        <w:rPr>
          <w:rStyle w:val="normaltextrun"/>
          <w:b/>
          <w:bCs/>
        </w:rPr>
        <w:t>Lyan</w:t>
      </w:r>
      <w:proofErr w:type="spellEnd"/>
      <w:r>
        <w:rPr>
          <w:rStyle w:val="normaltextrun"/>
          <w:b/>
          <w:bCs/>
        </w:rPr>
        <w:t xml:space="preserve"> Almasoud ( FINAL DRAFT)</w:t>
      </w:r>
    </w:p>
    <w:p w14:paraId="76A449D9" w14:textId="388362A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rPr>
        <w:t>Current Ratio</w:t>
      </w:r>
      <w:r>
        <w:rPr>
          <w:rStyle w:val="eop"/>
        </w:rPr>
        <w:t> </w:t>
      </w:r>
    </w:p>
    <w:p w14:paraId="17B1FD73"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 The formula of calculating current ratio is: </w:t>
      </w:r>
      <w:r>
        <w:rPr>
          <w:rStyle w:val="eop"/>
        </w:rPr>
        <w:t> </w:t>
      </w:r>
    </w:p>
    <w:p w14:paraId="2254E2BF"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Current ratio = Current assets/current liabilities</w:t>
      </w:r>
      <w:r>
        <w:rPr>
          <w:rStyle w:val="eop"/>
        </w:rPr>
        <w:t> </w:t>
      </w:r>
    </w:p>
    <w:p w14:paraId="2D8B752E"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The 2017 current ratio = </w:t>
      </w:r>
      <w:r>
        <w:rPr>
          <w:rStyle w:val="normaltextrun"/>
          <w:color w:val="000000"/>
        </w:rPr>
        <w:t>2781164.81/336678.35</w:t>
      </w:r>
      <w:r>
        <w:rPr>
          <w:rStyle w:val="eop"/>
        </w:rPr>
        <w:t> </w:t>
      </w:r>
    </w:p>
    <w:p w14:paraId="5A1B3D9A"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8.26</w:t>
      </w:r>
      <w:r>
        <w:rPr>
          <w:rStyle w:val="eop"/>
        </w:rPr>
        <w:t> </w:t>
      </w:r>
    </w:p>
    <w:p w14:paraId="62171941"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The 2018 current ratio = 2053138.31/1269555.42</w:t>
      </w:r>
      <w:r>
        <w:rPr>
          <w:rStyle w:val="eop"/>
        </w:rPr>
        <w:t> </w:t>
      </w:r>
    </w:p>
    <w:p w14:paraId="2B30CA6D"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color w:val="000000"/>
        </w:rPr>
        <w:t> = 1.62</w:t>
      </w:r>
      <w:r>
        <w:rPr>
          <w:rStyle w:val="eop"/>
        </w:rPr>
        <w:t> </w:t>
      </w:r>
    </w:p>
    <w:p w14:paraId="09D27C16"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The 2019 current ratio = 2555330.35/664208.44</w:t>
      </w:r>
      <w:r>
        <w:rPr>
          <w:rStyle w:val="eop"/>
        </w:rPr>
        <w:t> </w:t>
      </w:r>
    </w:p>
    <w:p w14:paraId="6AEF0C37"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w:t>
      </w:r>
      <w:r>
        <w:rPr>
          <w:rStyle w:val="normaltextrun"/>
        </w:rPr>
        <w:t>= 3.85</w:t>
      </w:r>
      <w:r>
        <w:rPr>
          <w:rStyle w:val="eop"/>
        </w:rPr>
        <w:t> </w:t>
      </w:r>
    </w:p>
    <w:p w14:paraId="6FB48AF8" w14:textId="37AFF784"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rPr>
        <w:t>The current ratio decreased from 8.26 in 2017 to 1.62 in 2018 then increased to 3.85 in 2019. There are two reasons that caused the current ratio</w:t>
      </w:r>
      <w:r w:rsidR="008753A6">
        <w:rPr>
          <w:rStyle w:val="normaltextrun"/>
        </w:rPr>
        <w:t xml:space="preserve"> to decrease. The first is </w:t>
      </w:r>
      <w:r w:rsidR="00896E30">
        <w:rPr>
          <w:rStyle w:val="normaltextrun"/>
        </w:rPr>
        <w:t xml:space="preserve">that </w:t>
      </w:r>
      <w:r w:rsidR="00CA624F">
        <w:rPr>
          <w:rStyle w:val="normaltextrun"/>
        </w:rPr>
        <w:t xml:space="preserve">there was an increase in </w:t>
      </w:r>
      <w:r>
        <w:rPr>
          <w:rStyle w:val="normaltextrun"/>
        </w:rPr>
        <w:t>current liabilities</w:t>
      </w:r>
      <w:r w:rsidR="00CA624F">
        <w:rPr>
          <w:rStyle w:val="normaltextrun"/>
        </w:rPr>
        <w:t xml:space="preserve"> such as </w:t>
      </w:r>
      <w:r w:rsidR="00896E30">
        <w:rPr>
          <w:rStyle w:val="normaltextrun"/>
        </w:rPr>
        <w:t xml:space="preserve">a short-term loan worth $500,000 that was taken by the company. </w:t>
      </w:r>
      <w:r>
        <w:rPr>
          <w:rStyle w:val="normaltextrun"/>
        </w:rPr>
        <w:t>The other reason is that there was a decrease in current assets</w:t>
      </w:r>
      <w:r w:rsidR="00896E30">
        <w:rPr>
          <w:rStyle w:val="normaltextrun"/>
        </w:rPr>
        <w:t xml:space="preserve"> such as the Bot-Capital Campaign checking account that decreased by over $1 million. </w:t>
      </w:r>
      <w:r w:rsidR="0058598F">
        <w:rPr>
          <w:rStyle w:val="normaltextrun"/>
        </w:rPr>
        <w:t xml:space="preserve">This decrease implies that </w:t>
      </w:r>
      <w:r>
        <w:rPr>
          <w:rStyle w:val="normaltextrun"/>
        </w:rPr>
        <w:t>Tampa Theatre</w:t>
      </w:r>
      <w:r w:rsidR="0058598F">
        <w:rPr>
          <w:rStyle w:val="normaltextrun"/>
        </w:rPr>
        <w:t>’s ability</w:t>
      </w:r>
      <w:r>
        <w:rPr>
          <w:rStyle w:val="normaltextrun"/>
        </w:rPr>
        <w:t xml:space="preserve"> to pay their short-term debt was less in 2018 in comparison to 2017. The increase is in the current ratio between 2018 and 2019 was due to the increase in current assets </w:t>
      </w:r>
      <w:r w:rsidR="00CA624F">
        <w:rPr>
          <w:rStyle w:val="normaltextrun"/>
        </w:rPr>
        <w:t xml:space="preserve">such as </w:t>
      </w:r>
      <w:r w:rsidR="00CA624F" w:rsidRPr="00CA624F">
        <w:t>Bank of America</w:t>
      </w:r>
      <w:r w:rsidR="005A3EA3">
        <w:t xml:space="preserve"> account and</w:t>
      </w:r>
      <w:r w:rsidR="00CA624F" w:rsidRPr="00CA624F">
        <w:t xml:space="preserve"> cash receivables </w:t>
      </w:r>
      <w:r>
        <w:rPr>
          <w:rStyle w:val="normaltextrun"/>
        </w:rPr>
        <w:t>and a reduction in current liabilities</w:t>
      </w:r>
      <w:r w:rsidR="00CA624F">
        <w:rPr>
          <w:rStyle w:val="normaltextrun"/>
        </w:rPr>
        <w:t xml:space="preserve"> </w:t>
      </w:r>
      <w:r w:rsidR="005A3EA3">
        <w:rPr>
          <w:rStyle w:val="normaltextrun"/>
        </w:rPr>
        <w:t xml:space="preserve">such as </w:t>
      </w:r>
      <w:r w:rsidR="00896E30">
        <w:rPr>
          <w:rStyle w:val="normaltextrun"/>
        </w:rPr>
        <w:t>accounts payable and short-term loans</w:t>
      </w:r>
      <w:r>
        <w:rPr>
          <w:rStyle w:val="normaltextrun"/>
        </w:rPr>
        <w:t>. </w:t>
      </w:r>
      <w:r>
        <w:rPr>
          <w:rStyle w:val="eop"/>
        </w:rPr>
        <w:t> </w:t>
      </w:r>
    </w:p>
    <w:p w14:paraId="7C4448FF"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rPr>
        <w:t>Quick Ratio</w:t>
      </w:r>
      <w:r>
        <w:rPr>
          <w:rStyle w:val="eop"/>
        </w:rPr>
        <w:t> </w:t>
      </w:r>
    </w:p>
    <w:p w14:paraId="62B1570B"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The formula of calculating quick ratio is:</w:t>
      </w:r>
      <w:r>
        <w:rPr>
          <w:rStyle w:val="eop"/>
        </w:rPr>
        <w:t> </w:t>
      </w:r>
    </w:p>
    <w:p w14:paraId="48653D4D"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Quick ratio = (current assets – inventories)/current liabilities</w:t>
      </w:r>
      <w:r>
        <w:rPr>
          <w:rStyle w:val="eop"/>
        </w:rPr>
        <w:t> </w:t>
      </w:r>
    </w:p>
    <w:p w14:paraId="6EED99EC"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2017 Quick ratio = (</w:t>
      </w:r>
      <w:r>
        <w:rPr>
          <w:rStyle w:val="normaltextrun"/>
          <w:color w:val="000000"/>
        </w:rPr>
        <w:t>2781164.81 - 23816.83)/336678.35</w:t>
      </w:r>
      <w:r>
        <w:rPr>
          <w:rStyle w:val="eop"/>
        </w:rPr>
        <w:t> </w:t>
      </w:r>
    </w:p>
    <w:p w14:paraId="2C36E29B"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8.19</w:t>
      </w:r>
      <w:r>
        <w:rPr>
          <w:rStyle w:val="eop"/>
        </w:rPr>
        <w:t> </w:t>
      </w:r>
    </w:p>
    <w:p w14:paraId="50A00F20"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2018 Quick ratio = (2053138.31-18654.91)/1269555.42</w:t>
      </w:r>
      <w:r>
        <w:rPr>
          <w:rStyle w:val="eop"/>
        </w:rPr>
        <w:t> </w:t>
      </w:r>
    </w:p>
    <w:p w14:paraId="27712F05" w14:textId="77777777" w:rsidR="00DD7C0A" w:rsidRDefault="00DD7C0A" w:rsidP="00DD7C0A">
      <w:pPr>
        <w:pStyle w:val="paragraph"/>
        <w:spacing w:before="0" w:beforeAutospacing="0" w:after="0" w:afterAutospacing="0" w:line="360" w:lineRule="auto"/>
        <w:ind w:firstLine="1440"/>
        <w:textAlignment w:val="baseline"/>
        <w:rPr>
          <w:rFonts w:ascii="Arial" w:hAnsi="Arial" w:cs="Arial"/>
          <w:sz w:val="18"/>
          <w:szCs w:val="18"/>
        </w:rPr>
      </w:pPr>
      <w:r>
        <w:rPr>
          <w:rStyle w:val="normaltextrun"/>
          <w:color w:val="000000"/>
        </w:rPr>
        <w:t>    = 1.60</w:t>
      </w:r>
      <w:r>
        <w:rPr>
          <w:rStyle w:val="eop"/>
        </w:rPr>
        <w:t> </w:t>
      </w:r>
    </w:p>
    <w:p w14:paraId="3C2597FA"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2019 Quick ratio = (2555330.35 - 18654.91)/ 664208.44</w:t>
      </w:r>
      <w:r>
        <w:rPr>
          <w:rStyle w:val="eop"/>
        </w:rPr>
        <w:t> </w:t>
      </w:r>
    </w:p>
    <w:p w14:paraId="09441E67"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3.82</w:t>
      </w:r>
      <w:r>
        <w:rPr>
          <w:rStyle w:val="eop"/>
        </w:rPr>
        <w:t> </w:t>
      </w:r>
    </w:p>
    <w:p w14:paraId="154EFAF6" w14:textId="0935B8C3"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color w:val="000000"/>
        </w:rPr>
        <w:t>The quick ratio decreased from 8.19 in 2017 to 1.6 in 2018 and increased to 3.82 in 2019. The reason for the decrease in the quick ratio is </w:t>
      </w:r>
      <w:r w:rsidR="0058598F">
        <w:rPr>
          <w:rStyle w:val="normaltextrun"/>
          <w:color w:val="000000"/>
        </w:rPr>
        <w:t xml:space="preserve">due to a </w:t>
      </w:r>
      <w:r w:rsidR="00373A53">
        <w:rPr>
          <w:rStyle w:val="normaltextrun"/>
          <w:color w:val="000000"/>
        </w:rPr>
        <w:t>decrease in the current assets, excluding</w:t>
      </w:r>
      <w:r>
        <w:rPr>
          <w:rStyle w:val="normaltextrun"/>
          <w:color w:val="000000"/>
        </w:rPr>
        <w:t xml:space="preserve"> inventories. The other reason is an increase in the current liabilities. The decrease in quick ratio </w:t>
      </w:r>
      <w:r>
        <w:rPr>
          <w:rStyle w:val="normaltextrun"/>
          <w:color w:val="000000"/>
        </w:rPr>
        <w:lastRenderedPageBreak/>
        <w:t>implies that Tampa Theatre Foundation was less able to pay their current liabilities using their current assets in 2018 in comparison to 2017.</w:t>
      </w:r>
      <w:r w:rsidR="00E008AD">
        <w:rPr>
          <w:rStyle w:val="normaltextrun"/>
          <w:color w:val="000000"/>
        </w:rPr>
        <w:t xml:space="preserve"> Inventories are not included as part of current assets this assessment.</w:t>
      </w:r>
      <w:r>
        <w:rPr>
          <w:rStyle w:val="normaltextrun"/>
          <w:color w:val="000000"/>
        </w:rPr>
        <w:t xml:space="preserve"> The increase in the quick ratio in 2019 was due </w:t>
      </w:r>
      <w:r w:rsidR="001C4784">
        <w:rPr>
          <w:rStyle w:val="normaltextrun"/>
          <w:color w:val="000000"/>
        </w:rPr>
        <w:t>to an increase in total checking account balance together with a decrease in accounts payable.</w:t>
      </w:r>
      <w:r w:rsidR="001C4784">
        <w:rPr>
          <w:rFonts w:ascii="Arial" w:hAnsi="Arial" w:cs="Arial"/>
          <w:sz w:val="18"/>
          <w:szCs w:val="18"/>
        </w:rPr>
        <w:t xml:space="preserve"> </w:t>
      </w:r>
    </w:p>
    <w:p w14:paraId="11FE62EC"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eop"/>
        </w:rPr>
        <w:t> </w:t>
      </w:r>
    </w:p>
    <w:p w14:paraId="6725AA02"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color w:val="000000"/>
        </w:rPr>
        <w:t>Viability ratio </w:t>
      </w:r>
      <w:r>
        <w:rPr>
          <w:rStyle w:val="eop"/>
        </w:rPr>
        <w:t> </w:t>
      </w:r>
    </w:p>
    <w:p w14:paraId="2AF80A5C"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The formula of calculating viability ratio is:</w:t>
      </w:r>
      <w:r>
        <w:rPr>
          <w:rStyle w:val="eop"/>
        </w:rPr>
        <w:t> </w:t>
      </w:r>
    </w:p>
    <w:p w14:paraId="08B23A06"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Viability ratio = Net assets/long term debt</w:t>
      </w:r>
      <w:r>
        <w:rPr>
          <w:rStyle w:val="eop"/>
        </w:rPr>
        <w:t> </w:t>
      </w:r>
    </w:p>
    <w:p w14:paraId="3868C069"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2017 viability ratio = 5170305.99/377628.6</w:t>
      </w:r>
      <w:r>
        <w:rPr>
          <w:rStyle w:val="eop"/>
        </w:rPr>
        <w:t> </w:t>
      </w:r>
    </w:p>
    <w:p w14:paraId="25AA59E2"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13.69</w:t>
      </w:r>
      <w:r>
        <w:rPr>
          <w:rStyle w:val="eop"/>
        </w:rPr>
        <w:t> </w:t>
      </w:r>
    </w:p>
    <w:p w14:paraId="1346EF7F"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2018 viability ratio = 6904721.32/342951</w:t>
      </w:r>
      <w:r>
        <w:rPr>
          <w:rStyle w:val="eop"/>
        </w:rPr>
        <w:t> </w:t>
      </w:r>
    </w:p>
    <w:p w14:paraId="235E9E0D" w14:textId="77777777" w:rsidR="00DD7C0A" w:rsidRDefault="00DD7C0A" w:rsidP="00DD7C0A">
      <w:pPr>
        <w:pStyle w:val="paragraph"/>
        <w:spacing w:before="0" w:beforeAutospacing="0" w:after="0" w:afterAutospacing="0" w:line="360" w:lineRule="auto"/>
        <w:ind w:firstLine="1440"/>
        <w:textAlignment w:val="baseline"/>
        <w:rPr>
          <w:rFonts w:ascii="Arial" w:hAnsi="Arial" w:cs="Arial"/>
          <w:sz w:val="18"/>
          <w:szCs w:val="18"/>
        </w:rPr>
      </w:pPr>
      <w:r>
        <w:rPr>
          <w:rStyle w:val="normaltextrun"/>
          <w:color w:val="000000"/>
        </w:rPr>
        <w:t>      = 20.13</w:t>
      </w:r>
      <w:r>
        <w:rPr>
          <w:rStyle w:val="eop"/>
        </w:rPr>
        <w:t> </w:t>
      </w:r>
    </w:p>
    <w:p w14:paraId="7FE21410"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2019 viability ratio = 7507719.38/707806.83</w:t>
      </w:r>
      <w:r>
        <w:rPr>
          <w:rStyle w:val="eop"/>
        </w:rPr>
        <w:t> </w:t>
      </w:r>
    </w:p>
    <w:p w14:paraId="1F28A49F"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10.61</w:t>
      </w:r>
      <w:r>
        <w:rPr>
          <w:rStyle w:val="eop"/>
        </w:rPr>
        <w:t> </w:t>
      </w:r>
    </w:p>
    <w:p w14:paraId="75403682" w14:textId="1EBCEF29"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color w:val="000000"/>
        </w:rPr>
        <w:t>The viability ratio increased from 13.69 in 2017 to 20.13 in 2018</w:t>
      </w:r>
      <w:r w:rsidR="00373A53">
        <w:rPr>
          <w:rStyle w:val="normaltextrun"/>
          <w:color w:val="000000"/>
        </w:rPr>
        <w:t>,</w:t>
      </w:r>
      <w:r>
        <w:rPr>
          <w:rStyle w:val="normaltextrun"/>
          <w:color w:val="000000"/>
        </w:rPr>
        <w:t xml:space="preserve"> then decreased to 10.61 in 2019. Viability ratio is used by non-profit organizati</w:t>
      </w:r>
      <w:r w:rsidR="00022A27">
        <w:rPr>
          <w:rStyle w:val="normaltextrun"/>
          <w:color w:val="000000"/>
        </w:rPr>
        <w:t>ons to determine their sustainability</w:t>
      </w:r>
      <w:r>
        <w:rPr>
          <w:rStyle w:val="normaltextrun"/>
          <w:color w:val="000000"/>
        </w:rPr>
        <w:t xml:space="preserve">. The decrease in the viability ratio shows that Tampa Theatre Foundation was less viable in 2019 in comparison to 2018.This also means that Tampa Theatre Foundation was less able to cover its long-term liabilities in 2019 and had more difficulty in raising funds from donors. The increase in viability ratio in 2018 was due to an increase in net assets and a decrease in long term debt. </w:t>
      </w:r>
      <w:r w:rsidR="005A0DA8">
        <w:rPr>
          <w:rStyle w:val="normaltextrun"/>
          <w:color w:val="000000"/>
        </w:rPr>
        <w:t xml:space="preserve">This means that the company had more sustainable programs in 2018 than in 2017. </w:t>
      </w:r>
      <w:r>
        <w:rPr>
          <w:rStyle w:val="normaltextrun"/>
          <w:color w:val="000000"/>
        </w:rPr>
        <w:t>The decrease in viability ratio in 2019 was due to a sharp increase in long-term debt. </w:t>
      </w:r>
    </w:p>
    <w:p w14:paraId="3B7815C2"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color w:val="000000"/>
        </w:rPr>
        <w:t>Operating Reserve Ratio</w:t>
      </w:r>
      <w:r>
        <w:rPr>
          <w:rStyle w:val="eop"/>
        </w:rPr>
        <w:t> </w:t>
      </w:r>
    </w:p>
    <w:p w14:paraId="08E78920"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The formula for calculating operational reserve is: </w:t>
      </w:r>
      <w:r>
        <w:rPr>
          <w:rStyle w:val="eop"/>
        </w:rPr>
        <w:t> </w:t>
      </w:r>
    </w:p>
    <w:p w14:paraId="35843557"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Operating reserve = Unrestricted net assets/ total operating expenses</w:t>
      </w:r>
      <w:r>
        <w:rPr>
          <w:rStyle w:val="eop"/>
        </w:rPr>
        <w:t> </w:t>
      </w:r>
    </w:p>
    <w:p w14:paraId="2BFF2499"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2017 operating reserve = 2219667/2149598.98</w:t>
      </w:r>
      <w:r>
        <w:rPr>
          <w:rStyle w:val="eop"/>
        </w:rPr>
        <w:t> </w:t>
      </w:r>
    </w:p>
    <w:p w14:paraId="762BBAD3"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w:t>
      </w:r>
      <w:r>
        <w:rPr>
          <w:rStyle w:val="normaltextrun"/>
        </w:rPr>
        <w:t>1.03</w:t>
      </w:r>
      <w:r>
        <w:rPr>
          <w:rStyle w:val="eop"/>
        </w:rPr>
        <w:t> </w:t>
      </w:r>
    </w:p>
    <w:p w14:paraId="06AB282B"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2018 operating reserve = 2299897.62/2300479.78</w:t>
      </w:r>
      <w:r>
        <w:rPr>
          <w:rStyle w:val="eop"/>
        </w:rPr>
        <w:t> </w:t>
      </w:r>
    </w:p>
    <w:p w14:paraId="6F30A24E"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rPr>
        <w:t>  = 1.00</w:t>
      </w:r>
      <w:r>
        <w:rPr>
          <w:rStyle w:val="eop"/>
        </w:rPr>
        <w:t> </w:t>
      </w:r>
    </w:p>
    <w:p w14:paraId="37CF7C61"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2019 operating reserve = </w:t>
      </w:r>
      <w:r>
        <w:rPr>
          <w:rStyle w:val="normaltextrun"/>
          <w:color w:val="000000"/>
        </w:rPr>
        <w:t>2670842/2703540.92</w:t>
      </w:r>
      <w:r>
        <w:rPr>
          <w:rStyle w:val="eop"/>
        </w:rPr>
        <w:t> </w:t>
      </w:r>
    </w:p>
    <w:p w14:paraId="2DE35A66"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                                      = 0.99</w:t>
      </w:r>
      <w:r>
        <w:rPr>
          <w:rStyle w:val="eop"/>
        </w:rPr>
        <w:t> </w:t>
      </w:r>
    </w:p>
    <w:p w14:paraId="060FC7A3" w14:textId="4AC09D3E"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rPr>
        <w:lastRenderedPageBreak/>
        <w:t xml:space="preserve">The operating </w:t>
      </w:r>
      <w:r w:rsidR="004F06EF">
        <w:rPr>
          <w:rStyle w:val="normaltextrun"/>
        </w:rPr>
        <w:t>ratio decreased slightly from 1</w:t>
      </w:r>
      <w:r>
        <w:rPr>
          <w:rStyle w:val="normaltextrun"/>
        </w:rPr>
        <w:t>03</w:t>
      </w:r>
      <w:r w:rsidR="004F06EF">
        <w:rPr>
          <w:rStyle w:val="normaltextrun"/>
        </w:rPr>
        <w:t xml:space="preserve">% in 2017 to </w:t>
      </w:r>
      <w:r>
        <w:rPr>
          <w:rStyle w:val="normaltextrun"/>
        </w:rPr>
        <w:t>99</w:t>
      </w:r>
      <w:r w:rsidR="004F06EF">
        <w:rPr>
          <w:rStyle w:val="normaltextrun"/>
        </w:rPr>
        <w:t>%</w:t>
      </w:r>
      <w:r>
        <w:rPr>
          <w:rStyle w:val="normaltextrun"/>
        </w:rPr>
        <w:t xml:space="preserve"> in 2019. T</w:t>
      </w:r>
      <w:r w:rsidR="004F06EF">
        <w:rPr>
          <w:rStyle w:val="normaltextrun"/>
        </w:rPr>
        <w:t xml:space="preserve">his was a negative change of </w:t>
      </w:r>
      <w:r>
        <w:rPr>
          <w:rStyle w:val="normaltextrun"/>
        </w:rPr>
        <w:t>4</w:t>
      </w:r>
      <w:r w:rsidR="004F06EF">
        <w:rPr>
          <w:rStyle w:val="normaltextrun"/>
        </w:rPr>
        <w:t>%</w:t>
      </w:r>
      <w:r>
        <w:rPr>
          <w:rStyle w:val="normaltextrun"/>
        </w:rPr>
        <w:t>. Given the high operating reserve ratio Tampa Theatre Foundation was in a strong position in both 2017 and 2019 to make payments and support its mission without the need of borrowing externally. </w:t>
      </w:r>
      <w:r>
        <w:rPr>
          <w:rStyle w:val="eop"/>
        </w:rPr>
        <w:t> </w:t>
      </w:r>
    </w:p>
    <w:p w14:paraId="266A5DC1"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rPr>
        <w:t>Change in Assets </w:t>
      </w:r>
      <w:r>
        <w:rPr>
          <w:rStyle w:val="eop"/>
        </w:rPr>
        <w:t> </w:t>
      </w:r>
    </w:p>
    <w:p w14:paraId="599B8F07" w14:textId="2060E6AF"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rPr>
        <w:t>The change in assets refers to the </w:t>
      </w:r>
      <w:r w:rsidR="00B1512F">
        <w:rPr>
          <w:rStyle w:val="normaltextrun"/>
        </w:rPr>
        <w:t>difference</w:t>
      </w:r>
      <w:r>
        <w:rPr>
          <w:rStyle w:val="normaltextrun"/>
        </w:rPr>
        <w:t xml:space="preserve"> between the total assets of the two years. The total assets of Tampa Theatre Foundation were </w:t>
      </w:r>
      <w:r w:rsidR="00B1512F">
        <w:rPr>
          <w:rStyle w:val="normaltextrun"/>
        </w:rPr>
        <w:t>$</w:t>
      </w:r>
      <w:r>
        <w:rPr>
          <w:rStyle w:val="normaltextrun"/>
          <w:color w:val="000000"/>
        </w:rPr>
        <w:t>5</w:t>
      </w:r>
      <w:r w:rsidR="009E5C75">
        <w:rPr>
          <w:rStyle w:val="normaltextrun"/>
          <w:color w:val="000000"/>
        </w:rPr>
        <w:t>,</w:t>
      </w:r>
      <w:r>
        <w:rPr>
          <w:rStyle w:val="normaltextrun"/>
          <w:color w:val="000000"/>
        </w:rPr>
        <w:t>884</w:t>
      </w:r>
      <w:r w:rsidR="009E5C75">
        <w:rPr>
          <w:rStyle w:val="normaltextrun"/>
          <w:color w:val="000000"/>
        </w:rPr>
        <w:t>,</w:t>
      </w:r>
      <w:r>
        <w:rPr>
          <w:rStyle w:val="normaltextrun"/>
          <w:color w:val="000000"/>
        </w:rPr>
        <w:t xml:space="preserve">612.94 in 2017 and increased to </w:t>
      </w:r>
      <w:r w:rsidR="00B1512F">
        <w:rPr>
          <w:rStyle w:val="normaltextrun"/>
          <w:color w:val="000000"/>
        </w:rPr>
        <w:t>$</w:t>
      </w:r>
      <w:r>
        <w:rPr>
          <w:rStyle w:val="normaltextrun"/>
          <w:color w:val="000000"/>
        </w:rPr>
        <w:t>8</w:t>
      </w:r>
      <w:r w:rsidR="009E5C75">
        <w:rPr>
          <w:rStyle w:val="normaltextrun"/>
          <w:color w:val="000000"/>
        </w:rPr>
        <w:t>,</w:t>
      </w:r>
      <w:r>
        <w:rPr>
          <w:rStyle w:val="normaltextrun"/>
          <w:color w:val="000000"/>
        </w:rPr>
        <w:t>879</w:t>
      </w:r>
      <w:r w:rsidR="009E5C75">
        <w:rPr>
          <w:rStyle w:val="normaltextrun"/>
          <w:color w:val="000000"/>
        </w:rPr>
        <w:t>,</w:t>
      </w:r>
      <w:r>
        <w:rPr>
          <w:rStyle w:val="normaltextrun"/>
          <w:color w:val="000000"/>
        </w:rPr>
        <w:t>734.65 in 2019. This was a positive change in assets of </w:t>
      </w:r>
      <w:r w:rsidR="00B1512F">
        <w:rPr>
          <w:rStyle w:val="normaltextrun"/>
          <w:color w:val="000000"/>
        </w:rPr>
        <w:t>$</w:t>
      </w:r>
      <w:r>
        <w:rPr>
          <w:rStyle w:val="normaltextrun"/>
        </w:rPr>
        <w:t>2</w:t>
      </w:r>
      <w:r w:rsidR="009E5C75">
        <w:rPr>
          <w:rStyle w:val="normaltextrun"/>
        </w:rPr>
        <w:t>,</w:t>
      </w:r>
      <w:r>
        <w:rPr>
          <w:rStyle w:val="normaltextrun"/>
        </w:rPr>
        <w:t>995</w:t>
      </w:r>
      <w:r w:rsidR="009E5C75">
        <w:rPr>
          <w:rStyle w:val="normaltextrun"/>
        </w:rPr>
        <w:t>,</w:t>
      </w:r>
      <w:r>
        <w:rPr>
          <w:rStyle w:val="normaltextrun"/>
        </w:rPr>
        <w:t>121.71. This increase implies that the organization is experiencing sales growth and also overall growth. </w:t>
      </w:r>
      <w:r>
        <w:rPr>
          <w:rStyle w:val="eop"/>
        </w:rPr>
        <w:t> </w:t>
      </w:r>
    </w:p>
    <w:p w14:paraId="3FCAD82F"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Change in assets 2017-2018 = $8517227.74 - $5884612.94</w:t>
      </w:r>
      <w:r>
        <w:rPr>
          <w:rStyle w:val="eop"/>
        </w:rPr>
        <w:t> </w:t>
      </w:r>
    </w:p>
    <w:p w14:paraId="63D45857"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rPr>
        <w:t>          = $2,632,614.8</w:t>
      </w:r>
      <w:r>
        <w:rPr>
          <w:rStyle w:val="eop"/>
        </w:rPr>
        <w:t> </w:t>
      </w:r>
    </w:p>
    <w:p w14:paraId="644DF691"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Change in assets 2018-2019 = $8879734.65 - $8517227.74 </w:t>
      </w:r>
      <w:r>
        <w:rPr>
          <w:rStyle w:val="eop"/>
        </w:rPr>
        <w:t> </w:t>
      </w:r>
    </w:p>
    <w:p w14:paraId="1DF90746"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rPr>
        <w:t>          = $362,506.91</w:t>
      </w:r>
      <w:r>
        <w:rPr>
          <w:rStyle w:val="eop"/>
        </w:rPr>
        <w:t> </w:t>
      </w:r>
    </w:p>
    <w:p w14:paraId="7598BFCC"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rPr>
        <w:t>Operating Margin</w:t>
      </w:r>
      <w:r>
        <w:rPr>
          <w:rStyle w:val="eop"/>
        </w:rPr>
        <w:t> </w:t>
      </w:r>
    </w:p>
    <w:p w14:paraId="0002FE3B"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The formula for calculating operating margin is = operating income/net sales</w:t>
      </w:r>
      <w:r>
        <w:rPr>
          <w:rStyle w:val="eop"/>
        </w:rPr>
        <w:t> </w:t>
      </w:r>
    </w:p>
    <w:p w14:paraId="0DDFE07F"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rPr>
        <w:t>2017 operating margin = </w:t>
      </w:r>
      <w:r>
        <w:rPr>
          <w:rStyle w:val="normaltextrun"/>
          <w:color w:val="000000"/>
        </w:rPr>
        <w:t>43068.02/2257667</w:t>
      </w:r>
      <w:r>
        <w:rPr>
          <w:rStyle w:val="eop"/>
        </w:rPr>
        <w:t> </w:t>
      </w:r>
    </w:p>
    <w:p w14:paraId="60B4316B"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1.91%</w:t>
      </w:r>
      <w:r>
        <w:rPr>
          <w:rStyle w:val="eop"/>
        </w:rPr>
        <w:t> </w:t>
      </w:r>
    </w:p>
    <w:p w14:paraId="7BD8AFE5"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2018 operating margin = 35999.84/2336479.62</w:t>
      </w:r>
      <w:r>
        <w:rPr>
          <w:rStyle w:val="eop"/>
        </w:rPr>
        <w:t> </w:t>
      </w:r>
    </w:p>
    <w:p w14:paraId="42E0DA6E"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color w:val="000000"/>
        </w:rPr>
        <w:t> = 1.54%</w:t>
      </w:r>
      <w:r>
        <w:rPr>
          <w:rStyle w:val="eop"/>
        </w:rPr>
        <w:t> </w:t>
      </w:r>
    </w:p>
    <w:p w14:paraId="472879B7"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2019 operating margin = 6301.08/2709842</w:t>
      </w:r>
      <w:r>
        <w:rPr>
          <w:rStyle w:val="eop"/>
        </w:rPr>
        <w:t> </w:t>
      </w:r>
    </w:p>
    <w:p w14:paraId="76D22D74"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0.23%</w:t>
      </w:r>
      <w:r>
        <w:rPr>
          <w:rStyle w:val="eop"/>
        </w:rPr>
        <w:t> </w:t>
      </w:r>
    </w:p>
    <w:p w14:paraId="7826C262" w14:textId="26FB7345"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color w:val="000000"/>
        </w:rPr>
        <w:t xml:space="preserve">The operating margin decreased from 1.91% in 2017 to 0.23% in </w:t>
      </w:r>
      <w:r w:rsidR="008A668E">
        <w:rPr>
          <w:rStyle w:val="normaltextrun"/>
          <w:color w:val="000000"/>
        </w:rPr>
        <w:t>2019, a</w:t>
      </w:r>
      <w:r>
        <w:rPr>
          <w:rStyle w:val="normaltextrun"/>
          <w:color w:val="000000"/>
        </w:rPr>
        <w:t xml:space="preserve"> decr</w:t>
      </w:r>
      <w:r w:rsidR="008A668E">
        <w:rPr>
          <w:rStyle w:val="normaltextrun"/>
          <w:color w:val="000000"/>
        </w:rPr>
        <w:t>ease of 1.68%. This shows that for</w:t>
      </w:r>
      <w:r>
        <w:rPr>
          <w:rStyle w:val="normaltextrun"/>
          <w:color w:val="000000"/>
        </w:rPr>
        <w:t xml:space="preserve"> each dollar of sales</w:t>
      </w:r>
      <w:r w:rsidR="008A668E">
        <w:rPr>
          <w:rStyle w:val="normaltextrun"/>
          <w:color w:val="000000"/>
        </w:rPr>
        <w:t>,</w:t>
      </w:r>
      <w:r>
        <w:rPr>
          <w:rStyle w:val="normaltextrun"/>
          <w:color w:val="000000"/>
        </w:rPr>
        <w:t xml:space="preserve"> Tampa Theatre Foundation made a profit of 0.23% </w:t>
      </w:r>
      <w:r w:rsidR="008A668E">
        <w:rPr>
          <w:rStyle w:val="normaltextrun"/>
          <w:color w:val="000000"/>
        </w:rPr>
        <w:t xml:space="preserve">in 2019, whereas in </w:t>
      </w:r>
      <w:r>
        <w:rPr>
          <w:rStyle w:val="normaltextrun"/>
          <w:color w:val="000000"/>
        </w:rPr>
        <w:t>2017 where the same dollar made a profit of 1.91%. This shows that Tampa Theatre Foundation was less profitable in 2019 that it was in 2017. </w:t>
      </w:r>
      <w:r w:rsidR="00B328C1">
        <w:rPr>
          <w:rStyle w:val="normaltextrun"/>
          <w:color w:val="000000"/>
        </w:rPr>
        <w:t xml:space="preserve">This was due to an increase in operating expenses. </w:t>
      </w:r>
      <w:r>
        <w:rPr>
          <w:rStyle w:val="eop"/>
        </w:rPr>
        <w:t> </w:t>
      </w:r>
    </w:p>
    <w:p w14:paraId="01FC2490"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color w:val="000000"/>
        </w:rPr>
        <w:t>Program efficiency</w:t>
      </w:r>
      <w:r>
        <w:rPr>
          <w:rStyle w:val="eop"/>
        </w:rPr>
        <w:t> </w:t>
      </w:r>
    </w:p>
    <w:p w14:paraId="41135EA3"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The formula of calculating program efficiency is:</w:t>
      </w:r>
      <w:r>
        <w:rPr>
          <w:rStyle w:val="eop"/>
        </w:rPr>
        <w:t> </w:t>
      </w:r>
    </w:p>
    <w:p w14:paraId="1F226125"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Program efficiency = total program expense/total expense</w:t>
      </w:r>
      <w:r>
        <w:rPr>
          <w:rStyle w:val="eop"/>
        </w:rPr>
        <w:t> </w:t>
      </w:r>
    </w:p>
    <w:p w14:paraId="04F58F54"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2017 program efficiency = 29500/2149598.98</w:t>
      </w:r>
      <w:r>
        <w:rPr>
          <w:rStyle w:val="eop"/>
        </w:rPr>
        <w:t> </w:t>
      </w:r>
    </w:p>
    <w:p w14:paraId="5B88368C"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1.37%</w:t>
      </w:r>
      <w:r>
        <w:rPr>
          <w:rStyle w:val="eop"/>
        </w:rPr>
        <w:t> </w:t>
      </w:r>
    </w:p>
    <w:p w14:paraId="13A17912"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lastRenderedPageBreak/>
        <w:t>2018 program efficiency = 235885/2300479.78</w:t>
      </w:r>
      <w:r>
        <w:rPr>
          <w:rStyle w:val="eop"/>
        </w:rPr>
        <w:t> </w:t>
      </w:r>
    </w:p>
    <w:p w14:paraId="34AE63B5"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color w:val="000000"/>
        </w:rPr>
        <w:t>    = 10.25%</w:t>
      </w:r>
      <w:r>
        <w:rPr>
          <w:rStyle w:val="eop"/>
        </w:rPr>
        <w:t> </w:t>
      </w:r>
    </w:p>
    <w:p w14:paraId="2133EB20"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2019 program efficiency = 28100/2703540.92</w:t>
      </w:r>
      <w:r>
        <w:rPr>
          <w:rStyle w:val="eop"/>
        </w:rPr>
        <w:t> </w:t>
      </w:r>
    </w:p>
    <w:p w14:paraId="5FCFF254"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1.04%</w:t>
      </w:r>
      <w:r>
        <w:rPr>
          <w:rStyle w:val="eop"/>
        </w:rPr>
        <w:t> </w:t>
      </w:r>
    </w:p>
    <w:p w14:paraId="47907A33" w14:textId="33B1337E"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color w:val="000000"/>
        </w:rPr>
        <w:t>The program efficiency declined slightly from 1.37% to 1.04%. This shows that Tampa Theatre Foundation was less efficient is fulfilling its mission in 2019 in comparison to 2017. This means that it was easier for the company to attract donor funding in 2017 as compared to 2019. </w:t>
      </w:r>
      <w:r w:rsidR="00A04EC9">
        <w:rPr>
          <w:rStyle w:val="normaltextrun"/>
          <w:color w:val="000000"/>
        </w:rPr>
        <w:t xml:space="preserve">Total program expense was calculated by adding </w:t>
      </w:r>
      <w:r w:rsidR="005A0DA8">
        <w:rPr>
          <w:rStyle w:val="normaltextrun"/>
          <w:color w:val="000000"/>
        </w:rPr>
        <w:t>film program expenses, membership program expense and educational program expenses.</w:t>
      </w:r>
      <w:r>
        <w:rPr>
          <w:rStyle w:val="eop"/>
        </w:rPr>
        <w:t> </w:t>
      </w:r>
    </w:p>
    <w:p w14:paraId="0CACCFC5"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color w:val="000000"/>
        </w:rPr>
        <w:t>Fundraising Efficiency</w:t>
      </w:r>
      <w:r>
        <w:rPr>
          <w:rStyle w:val="eop"/>
        </w:rPr>
        <w:t> </w:t>
      </w:r>
    </w:p>
    <w:p w14:paraId="5CAB78DA"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The formula of calculating efficiency is:</w:t>
      </w:r>
      <w:r>
        <w:rPr>
          <w:rStyle w:val="eop"/>
        </w:rPr>
        <w:t> </w:t>
      </w:r>
    </w:p>
    <w:p w14:paraId="39483D8E"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Fundraising efficiency = total fundraising expenses/total fundraising income</w:t>
      </w:r>
      <w:r>
        <w:rPr>
          <w:rStyle w:val="eop"/>
        </w:rPr>
        <w:t> </w:t>
      </w:r>
    </w:p>
    <w:p w14:paraId="236E3BD1"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2017 fundraising efficiency = 122700/779106</w:t>
      </w:r>
      <w:r>
        <w:rPr>
          <w:rStyle w:val="eop"/>
        </w:rPr>
        <w:t> </w:t>
      </w:r>
    </w:p>
    <w:p w14:paraId="56F9827D"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15.75%</w:t>
      </w:r>
      <w:r>
        <w:rPr>
          <w:rStyle w:val="eop"/>
        </w:rPr>
        <w:t> </w:t>
      </w:r>
    </w:p>
    <w:p w14:paraId="3D0FCCC7"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2018 fundraising efficiency = 144000/563150</w:t>
      </w:r>
      <w:r>
        <w:rPr>
          <w:rStyle w:val="eop"/>
        </w:rPr>
        <w:t> </w:t>
      </w:r>
    </w:p>
    <w:p w14:paraId="222FC031"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color w:val="000000"/>
        </w:rPr>
        <w:t>         = 25.57%</w:t>
      </w:r>
      <w:r>
        <w:rPr>
          <w:rStyle w:val="eop"/>
        </w:rPr>
        <w:t> </w:t>
      </w:r>
    </w:p>
    <w:p w14:paraId="1CECDFBC"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2019 fundraising efficiency = 138500/780273</w:t>
      </w:r>
      <w:r>
        <w:rPr>
          <w:rStyle w:val="eop"/>
        </w:rPr>
        <w:t> </w:t>
      </w:r>
    </w:p>
    <w:p w14:paraId="464FF129"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17.75%</w:t>
      </w:r>
      <w:r>
        <w:rPr>
          <w:rStyle w:val="eop"/>
        </w:rPr>
        <w:t> </w:t>
      </w:r>
    </w:p>
    <w:p w14:paraId="03E37EC6" w14:textId="6F79FFD0" w:rsidR="00DD7C0A" w:rsidRDefault="00DD7C0A" w:rsidP="00DD7C0A">
      <w:pPr>
        <w:pStyle w:val="paragraph"/>
        <w:spacing w:before="0" w:beforeAutospacing="0" w:after="0" w:afterAutospacing="0" w:line="360" w:lineRule="auto"/>
        <w:ind w:firstLine="720"/>
        <w:textAlignment w:val="baseline"/>
        <w:rPr>
          <w:rFonts w:ascii="Arial" w:hAnsi="Arial" w:cs="Arial"/>
          <w:sz w:val="18"/>
          <w:szCs w:val="18"/>
        </w:rPr>
      </w:pPr>
      <w:r>
        <w:rPr>
          <w:rStyle w:val="normaltextrun"/>
          <w:color w:val="000000"/>
        </w:rPr>
        <w:t>The fundraising efficiency increased from 15.75% in 2017 to 17.75% in 2019. This was an increase of 2%. This shows that Tampa Theatre Foundation was more efficient</w:t>
      </w:r>
      <w:r w:rsidR="00392C3C">
        <w:rPr>
          <w:rStyle w:val="normaltextrun"/>
          <w:color w:val="000000"/>
        </w:rPr>
        <w:t xml:space="preserve"> and was able to raise more fun</w:t>
      </w:r>
      <w:r>
        <w:rPr>
          <w:rStyle w:val="normaltextrun"/>
          <w:color w:val="000000"/>
        </w:rPr>
        <w:t>ds from fundraising activities in 2019 in comparison to 2017. </w:t>
      </w:r>
      <w:r>
        <w:rPr>
          <w:rStyle w:val="eop"/>
        </w:rPr>
        <w:t> </w:t>
      </w:r>
    </w:p>
    <w:p w14:paraId="49833358"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b/>
          <w:bCs/>
          <w:color w:val="000000"/>
        </w:rPr>
        <w:t>Operating Reliance</w:t>
      </w:r>
      <w:r>
        <w:rPr>
          <w:rStyle w:val="eop"/>
        </w:rPr>
        <w:t> </w:t>
      </w:r>
    </w:p>
    <w:p w14:paraId="49558066"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The formula for calculating operating reliance is: </w:t>
      </w:r>
      <w:r>
        <w:rPr>
          <w:rStyle w:val="eop"/>
        </w:rPr>
        <w:t> </w:t>
      </w:r>
    </w:p>
    <w:p w14:paraId="702BA331"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Operating reliance = program revenues/total expenses</w:t>
      </w:r>
      <w:r>
        <w:rPr>
          <w:rStyle w:val="eop"/>
        </w:rPr>
        <w:t> </w:t>
      </w:r>
    </w:p>
    <w:p w14:paraId="55207C58"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2017 operating reliance = 480061/2149598.98</w:t>
      </w:r>
      <w:r>
        <w:rPr>
          <w:rStyle w:val="eop"/>
        </w:rPr>
        <w:t> </w:t>
      </w:r>
    </w:p>
    <w:p w14:paraId="5A4F2B63"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0.22</w:t>
      </w:r>
      <w:r>
        <w:rPr>
          <w:rStyle w:val="eop"/>
        </w:rPr>
        <w:t> </w:t>
      </w:r>
    </w:p>
    <w:p w14:paraId="2A4052A0"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2018 operating reliance = 458100/2300479.78</w:t>
      </w:r>
      <w:r>
        <w:rPr>
          <w:rStyle w:val="eop"/>
        </w:rPr>
        <w:t> </w:t>
      </w:r>
    </w:p>
    <w:p w14:paraId="00AE9FEB" w14:textId="77777777" w:rsidR="00DD7C0A" w:rsidRDefault="00DD7C0A" w:rsidP="00DD7C0A">
      <w:pPr>
        <w:pStyle w:val="paragraph"/>
        <w:spacing w:before="0" w:beforeAutospacing="0" w:after="0" w:afterAutospacing="0" w:line="360" w:lineRule="auto"/>
        <w:ind w:firstLine="2160"/>
        <w:textAlignment w:val="baseline"/>
        <w:rPr>
          <w:rFonts w:ascii="Arial" w:hAnsi="Arial" w:cs="Arial"/>
          <w:sz w:val="18"/>
          <w:szCs w:val="18"/>
        </w:rPr>
      </w:pPr>
      <w:r>
        <w:rPr>
          <w:rStyle w:val="normaltextrun"/>
          <w:color w:val="000000"/>
        </w:rPr>
        <w:t>  = 0.20</w:t>
      </w:r>
      <w:r>
        <w:rPr>
          <w:rStyle w:val="eop"/>
        </w:rPr>
        <w:t> </w:t>
      </w:r>
    </w:p>
    <w:p w14:paraId="46399B0A"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2019 operating reliance = 530191/2703540.92</w:t>
      </w:r>
      <w:r>
        <w:rPr>
          <w:rStyle w:val="eop"/>
        </w:rPr>
        <w:t> </w:t>
      </w:r>
    </w:p>
    <w:p w14:paraId="2AFDAFF8" w14:textId="77777777" w:rsidR="00DD7C0A" w:rsidRDefault="00DD7C0A" w:rsidP="00DD7C0A">
      <w:pPr>
        <w:pStyle w:val="paragraph"/>
        <w:spacing w:before="0" w:beforeAutospacing="0" w:after="0" w:afterAutospacing="0" w:line="360" w:lineRule="auto"/>
        <w:textAlignment w:val="baseline"/>
        <w:rPr>
          <w:rFonts w:ascii="Arial" w:hAnsi="Arial" w:cs="Arial"/>
          <w:sz w:val="18"/>
          <w:szCs w:val="18"/>
        </w:rPr>
      </w:pPr>
      <w:r>
        <w:rPr>
          <w:rStyle w:val="normaltextrun"/>
          <w:color w:val="000000"/>
        </w:rPr>
        <w:t>                                      = 0.20</w:t>
      </w:r>
      <w:r>
        <w:rPr>
          <w:rStyle w:val="eop"/>
        </w:rPr>
        <w:t> </w:t>
      </w:r>
    </w:p>
    <w:p w14:paraId="2313AEB9" w14:textId="33005892" w:rsidR="00DD7C0A" w:rsidRDefault="00DD7C0A" w:rsidP="00DD7C0A">
      <w:pPr>
        <w:pStyle w:val="paragraph"/>
        <w:spacing w:before="0" w:beforeAutospacing="0" w:after="0" w:afterAutospacing="0" w:line="360" w:lineRule="auto"/>
        <w:ind w:firstLine="720"/>
        <w:textAlignment w:val="baseline"/>
        <w:rPr>
          <w:rStyle w:val="eop"/>
        </w:rPr>
      </w:pPr>
      <w:r>
        <w:rPr>
          <w:rStyle w:val="normaltextrun"/>
          <w:color w:val="000000"/>
        </w:rPr>
        <w:lastRenderedPageBreak/>
        <w:t>The operating rel</w:t>
      </w:r>
      <w:r w:rsidR="004F06EF">
        <w:rPr>
          <w:rStyle w:val="normaltextrun"/>
          <w:color w:val="000000"/>
        </w:rPr>
        <w:t xml:space="preserve">iance decreased slightly from </w:t>
      </w:r>
      <w:r>
        <w:rPr>
          <w:rStyle w:val="normaltextrun"/>
          <w:color w:val="000000"/>
        </w:rPr>
        <w:t>22</w:t>
      </w:r>
      <w:r w:rsidR="004F06EF">
        <w:rPr>
          <w:rStyle w:val="normaltextrun"/>
          <w:color w:val="000000"/>
        </w:rPr>
        <w:t xml:space="preserve">% to </w:t>
      </w:r>
      <w:r>
        <w:rPr>
          <w:rStyle w:val="normaltextrun"/>
          <w:color w:val="000000"/>
        </w:rPr>
        <w:t>20</w:t>
      </w:r>
      <w:r w:rsidR="004F06EF">
        <w:rPr>
          <w:rStyle w:val="normaltextrun"/>
          <w:color w:val="000000"/>
        </w:rPr>
        <w:t xml:space="preserve">%. This was a </w:t>
      </w:r>
      <w:r>
        <w:rPr>
          <w:rStyle w:val="normaltextrun"/>
          <w:color w:val="000000"/>
        </w:rPr>
        <w:t>2</w:t>
      </w:r>
      <w:r w:rsidR="004F06EF">
        <w:rPr>
          <w:rStyle w:val="normaltextrun"/>
          <w:color w:val="000000"/>
        </w:rPr>
        <w:t>%</w:t>
      </w:r>
      <w:r>
        <w:rPr>
          <w:rStyle w:val="normaltextrun"/>
          <w:color w:val="000000"/>
        </w:rPr>
        <w:t xml:space="preserve"> decrease. The decrease shows that Tampa Theatre Foundation was less able to pay for its total expenses from program revenue in 2019 in comparison to 2017. </w:t>
      </w:r>
      <w:r w:rsidR="00CF7EBF">
        <w:rPr>
          <w:rStyle w:val="normaltextrun"/>
          <w:color w:val="000000"/>
        </w:rPr>
        <w:t>This was due a high increase in total expenses. Even though the program revenue also increased that increase was modest.</w:t>
      </w:r>
      <w:r>
        <w:rPr>
          <w:rStyle w:val="eop"/>
        </w:rPr>
        <w:t> </w:t>
      </w:r>
    </w:p>
    <w:p w14:paraId="7DAAE0CF" w14:textId="77777777" w:rsidR="00BD5FD2" w:rsidRDefault="004E5DA8"/>
    <w:sectPr w:rsidR="00BD5FD2" w:rsidSect="00A42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0A"/>
    <w:rsid w:val="000109E0"/>
    <w:rsid w:val="00022A27"/>
    <w:rsid w:val="001C4784"/>
    <w:rsid w:val="00373A53"/>
    <w:rsid w:val="00392C3C"/>
    <w:rsid w:val="003F27B0"/>
    <w:rsid w:val="004467BC"/>
    <w:rsid w:val="004E5DA8"/>
    <w:rsid w:val="004F06EF"/>
    <w:rsid w:val="0058598F"/>
    <w:rsid w:val="005A0DA8"/>
    <w:rsid w:val="005A3EA3"/>
    <w:rsid w:val="008753A6"/>
    <w:rsid w:val="00896E30"/>
    <w:rsid w:val="008A668E"/>
    <w:rsid w:val="0093373C"/>
    <w:rsid w:val="00936BE0"/>
    <w:rsid w:val="009B1814"/>
    <w:rsid w:val="009E5C75"/>
    <w:rsid w:val="00A04EC9"/>
    <w:rsid w:val="00A215CD"/>
    <w:rsid w:val="00A42B6B"/>
    <w:rsid w:val="00B1512F"/>
    <w:rsid w:val="00B328C1"/>
    <w:rsid w:val="00C3536F"/>
    <w:rsid w:val="00CA624F"/>
    <w:rsid w:val="00CF7EBF"/>
    <w:rsid w:val="00D13AA9"/>
    <w:rsid w:val="00DA5AD4"/>
    <w:rsid w:val="00DD7C0A"/>
    <w:rsid w:val="00E008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E7E7"/>
  <w15:docId w15:val="{039BAA78-49CD-3140-BBE6-4D471420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D7C0A"/>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DD7C0A"/>
  </w:style>
  <w:style w:type="character" w:customStyle="1" w:styleId="normaltextrun">
    <w:name w:val="normaltextrun"/>
    <w:basedOn w:val="DefaultParagraphFont"/>
    <w:rsid w:val="00DD7C0A"/>
  </w:style>
  <w:style w:type="character" w:customStyle="1" w:styleId="pagebreaktextspan">
    <w:name w:val="pagebreaktextspan"/>
    <w:basedOn w:val="DefaultParagraphFont"/>
    <w:rsid w:val="00DD7C0A"/>
  </w:style>
  <w:style w:type="character" w:customStyle="1" w:styleId="spellingerror">
    <w:name w:val="spellingerror"/>
    <w:basedOn w:val="DefaultParagraphFont"/>
    <w:rsid w:val="00DD7C0A"/>
  </w:style>
  <w:style w:type="character" w:styleId="CommentReference">
    <w:name w:val="annotation reference"/>
    <w:basedOn w:val="DefaultParagraphFont"/>
    <w:uiPriority w:val="99"/>
    <w:semiHidden/>
    <w:unhideWhenUsed/>
    <w:rsid w:val="00DA5AD4"/>
    <w:rPr>
      <w:sz w:val="18"/>
      <w:szCs w:val="18"/>
    </w:rPr>
  </w:style>
  <w:style w:type="paragraph" w:styleId="CommentText">
    <w:name w:val="annotation text"/>
    <w:basedOn w:val="Normal"/>
    <w:link w:val="CommentTextChar"/>
    <w:uiPriority w:val="99"/>
    <w:semiHidden/>
    <w:unhideWhenUsed/>
    <w:rsid w:val="00DA5AD4"/>
  </w:style>
  <w:style w:type="character" w:customStyle="1" w:styleId="CommentTextChar">
    <w:name w:val="Comment Text Char"/>
    <w:basedOn w:val="DefaultParagraphFont"/>
    <w:link w:val="CommentText"/>
    <w:uiPriority w:val="99"/>
    <w:semiHidden/>
    <w:rsid w:val="00DA5AD4"/>
  </w:style>
  <w:style w:type="paragraph" w:styleId="CommentSubject">
    <w:name w:val="annotation subject"/>
    <w:basedOn w:val="CommentText"/>
    <w:next w:val="CommentText"/>
    <w:link w:val="CommentSubjectChar"/>
    <w:uiPriority w:val="99"/>
    <w:semiHidden/>
    <w:unhideWhenUsed/>
    <w:rsid w:val="00DA5AD4"/>
    <w:rPr>
      <w:b/>
      <w:bCs/>
      <w:sz w:val="20"/>
      <w:szCs w:val="20"/>
    </w:rPr>
  </w:style>
  <w:style w:type="character" w:customStyle="1" w:styleId="CommentSubjectChar">
    <w:name w:val="Comment Subject Char"/>
    <w:basedOn w:val="CommentTextChar"/>
    <w:link w:val="CommentSubject"/>
    <w:uiPriority w:val="99"/>
    <w:semiHidden/>
    <w:rsid w:val="00DA5AD4"/>
    <w:rPr>
      <w:b/>
      <w:bCs/>
      <w:sz w:val="20"/>
      <w:szCs w:val="20"/>
    </w:rPr>
  </w:style>
  <w:style w:type="paragraph" w:styleId="BalloonText">
    <w:name w:val="Balloon Text"/>
    <w:basedOn w:val="Normal"/>
    <w:link w:val="BalloonTextChar"/>
    <w:uiPriority w:val="99"/>
    <w:semiHidden/>
    <w:unhideWhenUsed/>
    <w:rsid w:val="00DA5AD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A5AD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581650">
      <w:bodyDiv w:val="1"/>
      <w:marLeft w:val="0"/>
      <w:marRight w:val="0"/>
      <w:marTop w:val="0"/>
      <w:marBottom w:val="0"/>
      <w:divBdr>
        <w:top w:val="none" w:sz="0" w:space="0" w:color="auto"/>
        <w:left w:val="none" w:sz="0" w:space="0" w:color="auto"/>
        <w:bottom w:val="none" w:sz="0" w:space="0" w:color="auto"/>
        <w:right w:val="none" w:sz="0" w:space="0" w:color="auto"/>
      </w:divBdr>
      <w:divsChild>
        <w:div w:id="999967297">
          <w:marLeft w:val="0"/>
          <w:marRight w:val="0"/>
          <w:marTop w:val="0"/>
          <w:marBottom w:val="0"/>
          <w:divBdr>
            <w:top w:val="none" w:sz="0" w:space="0" w:color="auto"/>
            <w:left w:val="none" w:sz="0" w:space="0" w:color="auto"/>
            <w:bottom w:val="none" w:sz="0" w:space="0" w:color="auto"/>
            <w:right w:val="none" w:sz="0" w:space="0" w:color="auto"/>
          </w:divBdr>
        </w:div>
        <w:div w:id="1130511427">
          <w:marLeft w:val="0"/>
          <w:marRight w:val="0"/>
          <w:marTop w:val="0"/>
          <w:marBottom w:val="0"/>
          <w:divBdr>
            <w:top w:val="none" w:sz="0" w:space="0" w:color="auto"/>
            <w:left w:val="none" w:sz="0" w:space="0" w:color="auto"/>
            <w:bottom w:val="none" w:sz="0" w:space="0" w:color="auto"/>
            <w:right w:val="none" w:sz="0" w:space="0" w:color="auto"/>
          </w:divBdr>
        </w:div>
        <w:div w:id="1657225836">
          <w:marLeft w:val="0"/>
          <w:marRight w:val="0"/>
          <w:marTop w:val="0"/>
          <w:marBottom w:val="0"/>
          <w:divBdr>
            <w:top w:val="none" w:sz="0" w:space="0" w:color="auto"/>
            <w:left w:val="none" w:sz="0" w:space="0" w:color="auto"/>
            <w:bottom w:val="none" w:sz="0" w:space="0" w:color="auto"/>
            <w:right w:val="none" w:sz="0" w:space="0" w:color="auto"/>
          </w:divBdr>
        </w:div>
        <w:div w:id="1324771450">
          <w:marLeft w:val="0"/>
          <w:marRight w:val="0"/>
          <w:marTop w:val="0"/>
          <w:marBottom w:val="0"/>
          <w:divBdr>
            <w:top w:val="none" w:sz="0" w:space="0" w:color="auto"/>
            <w:left w:val="none" w:sz="0" w:space="0" w:color="auto"/>
            <w:bottom w:val="none" w:sz="0" w:space="0" w:color="auto"/>
            <w:right w:val="none" w:sz="0" w:space="0" w:color="auto"/>
          </w:divBdr>
        </w:div>
        <w:div w:id="998075571">
          <w:marLeft w:val="0"/>
          <w:marRight w:val="0"/>
          <w:marTop w:val="0"/>
          <w:marBottom w:val="0"/>
          <w:divBdr>
            <w:top w:val="none" w:sz="0" w:space="0" w:color="auto"/>
            <w:left w:val="none" w:sz="0" w:space="0" w:color="auto"/>
            <w:bottom w:val="none" w:sz="0" w:space="0" w:color="auto"/>
            <w:right w:val="none" w:sz="0" w:space="0" w:color="auto"/>
          </w:divBdr>
        </w:div>
        <w:div w:id="877007068">
          <w:marLeft w:val="0"/>
          <w:marRight w:val="0"/>
          <w:marTop w:val="0"/>
          <w:marBottom w:val="0"/>
          <w:divBdr>
            <w:top w:val="none" w:sz="0" w:space="0" w:color="auto"/>
            <w:left w:val="none" w:sz="0" w:space="0" w:color="auto"/>
            <w:bottom w:val="none" w:sz="0" w:space="0" w:color="auto"/>
            <w:right w:val="none" w:sz="0" w:space="0" w:color="auto"/>
          </w:divBdr>
        </w:div>
        <w:div w:id="1321814462">
          <w:marLeft w:val="0"/>
          <w:marRight w:val="0"/>
          <w:marTop w:val="0"/>
          <w:marBottom w:val="0"/>
          <w:divBdr>
            <w:top w:val="none" w:sz="0" w:space="0" w:color="auto"/>
            <w:left w:val="none" w:sz="0" w:space="0" w:color="auto"/>
            <w:bottom w:val="none" w:sz="0" w:space="0" w:color="auto"/>
            <w:right w:val="none" w:sz="0" w:space="0" w:color="auto"/>
          </w:divBdr>
        </w:div>
        <w:div w:id="476579769">
          <w:marLeft w:val="0"/>
          <w:marRight w:val="0"/>
          <w:marTop w:val="0"/>
          <w:marBottom w:val="0"/>
          <w:divBdr>
            <w:top w:val="none" w:sz="0" w:space="0" w:color="auto"/>
            <w:left w:val="none" w:sz="0" w:space="0" w:color="auto"/>
            <w:bottom w:val="none" w:sz="0" w:space="0" w:color="auto"/>
            <w:right w:val="none" w:sz="0" w:space="0" w:color="auto"/>
          </w:divBdr>
        </w:div>
        <w:div w:id="1137457823">
          <w:marLeft w:val="0"/>
          <w:marRight w:val="0"/>
          <w:marTop w:val="0"/>
          <w:marBottom w:val="0"/>
          <w:divBdr>
            <w:top w:val="none" w:sz="0" w:space="0" w:color="auto"/>
            <w:left w:val="none" w:sz="0" w:space="0" w:color="auto"/>
            <w:bottom w:val="none" w:sz="0" w:space="0" w:color="auto"/>
            <w:right w:val="none" w:sz="0" w:space="0" w:color="auto"/>
          </w:divBdr>
        </w:div>
        <w:div w:id="1861624267">
          <w:marLeft w:val="0"/>
          <w:marRight w:val="0"/>
          <w:marTop w:val="0"/>
          <w:marBottom w:val="0"/>
          <w:divBdr>
            <w:top w:val="none" w:sz="0" w:space="0" w:color="auto"/>
            <w:left w:val="none" w:sz="0" w:space="0" w:color="auto"/>
            <w:bottom w:val="none" w:sz="0" w:space="0" w:color="auto"/>
            <w:right w:val="none" w:sz="0" w:space="0" w:color="auto"/>
          </w:divBdr>
        </w:div>
        <w:div w:id="1873304934">
          <w:marLeft w:val="0"/>
          <w:marRight w:val="0"/>
          <w:marTop w:val="0"/>
          <w:marBottom w:val="0"/>
          <w:divBdr>
            <w:top w:val="none" w:sz="0" w:space="0" w:color="auto"/>
            <w:left w:val="none" w:sz="0" w:space="0" w:color="auto"/>
            <w:bottom w:val="none" w:sz="0" w:space="0" w:color="auto"/>
            <w:right w:val="none" w:sz="0" w:space="0" w:color="auto"/>
          </w:divBdr>
        </w:div>
        <w:div w:id="667296295">
          <w:marLeft w:val="0"/>
          <w:marRight w:val="0"/>
          <w:marTop w:val="0"/>
          <w:marBottom w:val="0"/>
          <w:divBdr>
            <w:top w:val="none" w:sz="0" w:space="0" w:color="auto"/>
            <w:left w:val="none" w:sz="0" w:space="0" w:color="auto"/>
            <w:bottom w:val="none" w:sz="0" w:space="0" w:color="auto"/>
            <w:right w:val="none" w:sz="0" w:space="0" w:color="auto"/>
          </w:divBdr>
        </w:div>
        <w:div w:id="1249922441">
          <w:marLeft w:val="0"/>
          <w:marRight w:val="0"/>
          <w:marTop w:val="0"/>
          <w:marBottom w:val="0"/>
          <w:divBdr>
            <w:top w:val="none" w:sz="0" w:space="0" w:color="auto"/>
            <w:left w:val="none" w:sz="0" w:space="0" w:color="auto"/>
            <w:bottom w:val="none" w:sz="0" w:space="0" w:color="auto"/>
            <w:right w:val="none" w:sz="0" w:space="0" w:color="auto"/>
          </w:divBdr>
        </w:div>
        <w:div w:id="226427268">
          <w:marLeft w:val="0"/>
          <w:marRight w:val="0"/>
          <w:marTop w:val="0"/>
          <w:marBottom w:val="0"/>
          <w:divBdr>
            <w:top w:val="none" w:sz="0" w:space="0" w:color="auto"/>
            <w:left w:val="none" w:sz="0" w:space="0" w:color="auto"/>
            <w:bottom w:val="none" w:sz="0" w:space="0" w:color="auto"/>
            <w:right w:val="none" w:sz="0" w:space="0" w:color="auto"/>
          </w:divBdr>
        </w:div>
        <w:div w:id="532116462">
          <w:marLeft w:val="0"/>
          <w:marRight w:val="0"/>
          <w:marTop w:val="0"/>
          <w:marBottom w:val="0"/>
          <w:divBdr>
            <w:top w:val="none" w:sz="0" w:space="0" w:color="auto"/>
            <w:left w:val="none" w:sz="0" w:space="0" w:color="auto"/>
            <w:bottom w:val="none" w:sz="0" w:space="0" w:color="auto"/>
            <w:right w:val="none" w:sz="0" w:space="0" w:color="auto"/>
          </w:divBdr>
        </w:div>
        <w:div w:id="581571272">
          <w:marLeft w:val="0"/>
          <w:marRight w:val="0"/>
          <w:marTop w:val="0"/>
          <w:marBottom w:val="0"/>
          <w:divBdr>
            <w:top w:val="none" w:sz="0" w:space="0" w:color="auto"/>
            <w:left w:val="none" w:sz="0" w:space="0" w:color="auto"/>
            <w:bottom w:val="none" w:sz="0" w:space="0" w:color="auto"/>
            <w:right w:val="none" w:sz="0" w:space="0" w:color="auto"/>
          </w:divBdr>
        </w:div>
        <w:div w:id="297539891">
          <w:marLeft w:val="0"/>
          <w:marRight w:val="0"/>
          <w:marTop w:val="0"/>
          <w:marBottom w:val="0"/>
          <w:divBdr>
            <w:top w:val="none" w:sz="0" w:space="0" w:color="auto"/>
            <w:left w:val="none" w:sz="0" w:space="0" w:color="auto"/>
            <w:bottom w:val="none" w:sz="0" w:space="0" w:color="auto"/>
            <w:right w:val="none" w:sz="0" w:space="0" w:color="auto"/>
          </w:divBdr>
        </w:div>
        <w:div w:id="939875677">
          <w:marLeft w:val="0"/>
          <w:marRight w:val="0"/>
          <w:marTop w:val="0"/>
          <w:marBottom w:val="0"/>
          <w:divBdr>
            <w:top w:val="none" w:sz="0" w:space="0" w:color="auto"/>
            <w:left w:val="none" w:sz="0" w:space="0" w:color="auto"/>
            <w:bottom w:val="none" w:sz="0" w:space="0" w:color="auto"/>
            <w:right w:val="none" w:sz="0" w:space="0" w:color="auto"/>
          </w:divBdr>
        </w:div>
        <w:div w:id="1617366706">
          <w:marLeft w:val="0"/>
          <w:marRight w:val="0"/>
          <w:marTop w:val="0"/>
          <w:marBottom w:val="0"/>
          <w:divBdr>
            <w:top w:val="none" w:sz="0" w:space="0" w:color="auto"/>
            <w:left w:val="none" w:sz="0" w:space="0" w:color="auto"/>
            <w:bottom w:val="none" w:sz="0" w:space="0" w:color="auto"/>
            <w:right w:val="none" w:sz="0" w:space="0" w:color="auto"/>
          </w:divBdr>
        </w:div>
        <w:div w:id="1624385239">
          <w:marLeft w:val="0"/>
          <w:marRight w:val="0"/>
          <w:marTop w:val="0"/>
          <w:marBottom w:val="0"/>
          <w:divBdr>
            <w:top w:val="none" w:sz="0" w:space="0" w:color="auto"/>
            <w:left w:val="none" w:sz="0" w:space="0" w:color="auto"/>
            <w:bottom w:val="none" w:sz="0" w:space="0" w:color="auto"/>
            <w:right w:val="none" w:sz="0" w:space="0" w:color="auto"/>
          </w:divBdr>
        </w:div>
        <w:div w:id="237443664">
          <w:marLeft w:val="0"/>
          <w:marRight w:val="0"/>
          <w:marTop w:val="0"/>
          <w:marBottom w:val="0"/>
          <w:divBdr>
            <w:top w:val="none" w:sz="0" w:space="0" w:color="auto"/>
            <w:left w:val="none" w:sz="0" w:space="0" w:color="auto"/>
            <w:bottom w:val="none" w:sz="0" w:space="0" w:color="auto"/>
            <w:right w:val="none" w:sz="0" w:space="0" w:color="auto"/>
          </w:divBdr>
        </w:div>
        <w:div w:id="128481824">
          <w:marLeft w:val="0"/>
          <w:marRight w:val="0"/>
          <w:marTop w:val="0"/>
          <w:marBottom w:val="0"/>
          <w:divBdr>
            <w:top w:val="none" w:sz="0" w:space="0" w:color="auto"/>
            <w:left w:val="none" w:sz="0" w:space="0" w:color="auto"/>
            <w:bottom w:val="none" w:sz="0" w:space="0" w:color="auto"/>
            <w:right w:val="none" w:sz="0" w:space="0" w:color="auto"/>
          </w:divBdr>
        </w:div>
        <w:div w:id="1196885970">
          <w:marLeft w:val="0"/>
          <w:marRight w:val="0"/>
          <w:marTop w:val="0"/>
          <w:marBottom w:val="0"/>
          <w:divBdr>
            <w:top w:val="none" w:sz="0" w:space="0" w:color="auto"/>
            <w:left w:val="none" w:sz="0" w:space="0" w:color="auto"/>
            <w:bottom w:val="none" w:sz="0" w:space="0" w:color="auto"/>
            <w:right w:val="none" w:sz="0" w:space="0" w:color="auto"/>
          </w:divBdr>
        </w:div>
        <w:div w:id="357702007">
          <w:marLeft w:val="0"/>
          <w:marRight w:val="0"/>
          <w:marTop w:val="0"/>
          <w:marBottom w:val="0"/>
          <w:divBdr>
            <w:top w:val="none" w:sz="0" w:space="0" w:color="auto"/>
            <w:left w:val="none" w:sz="0" w:space="0" w:color="auto"/>
            <w:bottom w:val="none" w:sz="0" w:space="0" w:color="auto"/>
            <w:right w:val="none" w:sz="0" w:space="0" w:color="auto"/>
          </w:divBdr>
        </w:div>
        <w:div w:id="203249032">
          <w:marLeft w:val="0"/>
          <w:marRight w:val="0"/>
          <w:marTop w:val="0"/>
          <w:marBottom w:val="0"/>
          <w:divBdr>
            <w:top w:val="none" w:sz="0" w:space="0" w:color="auto"/>
            <w:left w:val="none" w:sz="0" w:space="0" w:color="auto"/>
            <w:bottom w:val="none" w:sz="0" w:space="0" w:color="auto"/>
            <w:right w:val="none" w:sz="0" w:space="0" w:color="auto"/>
          </w:divBdr>
        </w:div>
        <w:div w:id="1860394241">
          <w:marLeft w:val="0"/>
          <w:marRight w:val="0"/>
          <w:marTop w:val="0"/>
          <w:marBottom w:val="0"/>
          <w:divBdr>
            <w:top w:val="none" w:sz="0" w:space="0" w:color="auto"/>
            <w:left w:val="none" w:sz="0" w:space="0" w:color="auto"/>
            <w:bottom w:val="none" w:sz="0" w:space="0" w:color="auto"/>
            <w:right w:val="none" w:sz="0" w:space="0" w:color="auto"/>
          </w:divBdr>
        </w:div>
        <w:div w:id="580410444">
          <w:marLeft w:val="0"/>
          <w:marRight w:val="0"/>
          <w:marTop w:val="0"/>
          <w:marBottom w:val="0"/>
          <w:divBdr>
            <w:top w:val="none" w:sz="0" w:space="0" w:color="auto"/>
            <w:left w:val="none" w:sz="0" w:space="0" w:color="auto"/>
            <w:bottom w:val="none" w:sz="0" w:space="0" w:color="auto"/>
            <w:right w:val="none" w:sz="0" w:space="0" w:color="auto"/>
          </w:divBdr>
        </w:div>
        <w:div w:id="2118208402">
          <w:marLeft w:val="0"/>
          <w:marRight w:val="0"/>
          <w:marTop w:val="0"/>
          <w:marBottom w:val="0"/>
          <w:divBdr>
            <w:top w:val="none" w:sz="0" w:space="0" w:color="auto"/>
            <w:left w:val="none" w:sz="0" w:space="0" w:color="auto"/>
            <w:bottom w:val="none" w:sz="0" w:space="0" w:color="auto"/>
            <w:right w:val="none" w:sz="0" w:space="0" w:color="auto"/>
          </w:divBdr>
        </w:div>
        <w:div w:id="991298544">
          <w:marLeft w:val="0"/>
          <w:marRight w:val="0"/>
          <w:marTop w:val="0"/>
          <w:marBottom w:val="0"/>
          <w:divBdr>
            <w:top w:val="none" w:sz="0" w:space="0" w:color="auto"/>
            <w:left w:val="none" w:sz="0" w:space="0" w:color="auto"/>
            <w:bottom w:val="none" w:sz="0" w:space="0" w:color="auto"/>
            <w:right w:val="none" w:sz="0" w:space="0" w:color="auto"/>
          </w:divBdr>
        </w:div>
        <w:div w:id="546450374">
          <w:marLeft w:val="0"/>
          <w:marRight w:val="0"/>
          <w:marTop w:val="0"/>
          <w:marBottom w:val="0"/>
          <w:divBdr>
            <w:top w:val="none" w:sz="0" w:space="0" w:color="auto"/>
            <w:left w:val="none" w:sz="0" w:space="0" w:color="auto"/>
            <w:bottom w:val="none" w:sz="0" w:space="0" w:color="auto"/>
            <w:right w:val="none" w:sz="0" w:space="0" w:color="auto"/>
          </w:divBdr>
        </w:div>
        <w:div w:id="1801533436">
          <w:marLeft w:val="0"/>
          <w:marRight w:val="0"/>
          <w:marTop w:val="0"/>
          <w:marBottom w:val="0"/>
          <w:divBdr>
            <w:top w:val="none" w:sz="0" w:space="0" w:color="auto"/>
            <w:left w:val="none" w:sz="0" w:space="0" w:color="auto"/>
            <w:bottom w:val="none" w:sz="0" w:space="0" w:color="auto"/>
            <w:right w:val="none" w:sz="0" w:space="0" w:color="auto"/>
          </w:divBdr>
        </w:div>
        <w:div w:id="1449465553">
          <w:marLeft w:val="0"/>
          <w:marRight w:val="0"/>
          <w:marTop w:val="0"/>
          <w:marBottom w:val="0"/>
          <w:divBdr>
            <w:top w:val="none" w:sz="0" w:space="0" w:color="auto"/>
            <w:left w:val="none" w:sz="0" w:space="0" w:color="auto"/>
            <w:bottom w:val="none" w:sz="0" w:space="0" w:color="auto"/>
            <w:right w:val="none" w:sz="0" w:space="0" w:color="auto"/>
          </w:divBdr>
        </w:div>
        <w:div w:id="1286931927">
          <w:marLeft w:val="0"/>
          <w:marRight w:val="0"/>
          <w:marTop w:val="0"/>
          <w:marBottom w:val="0"/>
          <w:divBdr>
            <w:top w:val="none" w:sz="0" w:space="0" w:color="auto"/>
            <w:left w:val="none" w:sz="0" w:space="0" w:color="auto"/>
            <w:bottom w:val="none" w:sz="0" w:space="0" w:color="auto"/>
            <w:right w:val="none" w:sz="0" w:space="0" w:color="auto"/>
          </w:divBdr>
        </w:div>
        <w:div w:id="274796011">
          <w:marLeft w:val="0"/>
          <w:marRight w:val="0"/>
          <w:marTop w:val="0"/>
          <w:marBottom w:val="0"/>
          <w:divBdr>
            <w:top w:val="none" w:sz="0" w:space="0" w:color="auto"/>
            <w:left w:val="none" w:sz="0" w:space="0" w:color="auto"/>
            <w:bottom w:val="none" w:sz="0" w:space="0" w:color="auto"/>
            <w:right w:val="none" w:sz="0" w:space="0" w:color="auto"/>
          </w:divBdr>
        </w:div>
        <w:div w:id="1807549113">
          <w:marLeft w:val="0"/>
          <w:marRight w:val="0"/>
          <w:marTop w:val="0"/>
          <w:marBottom w:val="0"/>
          <w:divBdr>
            <w:top w:val="none" w:sz="0" w:space="0" w:color="auto"/>
            <w:left w:val="none" w:sz="0" w:space="0" w:color="auto"/>
            <w:bottom w:val="none" w:sz="0" w:space="0" w:color="auto"/>
            <w:right w:val="none" w:sz="0" w:space="0" w:color="auto"/>
          </w:divBdr>
        </w:div>
        <w:div w:id="2052534780">
          <w:marLeft w:val="0"/>
          <w:marRight w:val="0"/>
          <w:marTop w:val="0"/>
          <w:marBottom w:val="0"/>
          <w:divBdr>
            <w:top w:val="none" w:sz="0" w:space="0" w:color="auto"/>
            <w:left w:val="none" w:sz="0" w:space="0" w:color="auto"/>
            <w:bottom w:val="none" w:sz="0" w:space="0" w:color="auto"/>
            <w:right w:val="none" w:sz="0" w:space="0" w:color="auto"/>
          </w:divBdr>
        </w:div>
        <w:div w:id="920484358">
          <w:marLeft w:val="0"/>
          <w:marRight w:val="0"/>
          <w:marTop w:val="0"/>
          <w:marBottom w:val="0"/>
          <w:divBdr>
            <w:top w:val="none" w:sz="0" w:space="0" w:color="auto"/>
            <w:left w:val="none" w:sz="0" w:space="0" w:color="auto"/>
            <w:bottom w:val="none" w:sz="0" w:space="0" w:color="auto"/>
            <w:right w:val="none" w:sz="0" w:space="0" w:color="auto"/>
          </w:divBdr>
        </w:div>
        <w:div w:id="1416781429">
          <w:marLeft w:val="0"/>
          <w:marRight w:val="0"/>
          <w:marTop w:val="0"/>
          <w:marBottom w:val="0"/>
          <w:divBdr>
            <w:top w:val="none" w:sz="0" w:space="0" w:color="auto"/>
            <w:left w:val="none" w:sz="0" w:space="0" w:color="auto"/>
            <w:bottom w:val="none" w:sz="0" w:space="0" w:color="auto"/>
            <w:right w:val="none" w:sz="0" w:space="0" w:color="auto"/>
          </w:divBdr>
        </w:div>
        <w:div w:id="1516728926">
          <w:marLeft w:val="0"/>
          <w:marRight w:val="0"/>
          <w:marTop w:val="0"/>
          <w:marBottom w:val="0"/>
          <w:divBdr>
            <w:top w:val="none" w:sz="0" w:space="0" w:color="auto"/>
            <w:left w:val="none" w:sz="0" w:space="0" w:color="auto"/>
            <w:bottom w:val="none" w:sz="0" w:space="0" w:color="auto"/>
            <w:right w:val="none" w:sz="0" w:space="0" w:color="auto"/>
          </w:divBdr>
        </w:div>
        <w:div w:id="839275419">
          <w:marLeft w:val="0"/>
          <w:marRight w:val="0"/>
          <w:marTop w:val="0"/>
          <w:marBottom w:val="0"/>
          <w:divBdr>
            <w:top w:val="none" w:sz="0" w:space="0" w:color="auto"/>
            <w:left w:val="none" w:sz="0" w:space="0" w:color="auto"/>
            <w:bottom w:val="none" w:sz="0" w:space="0" w:color="auto"/>
            <w:right w:val="none" w:sz="0" w:space="0" w:color="auto"/>
          </w:divBdr>
        </w:div>
        <w:div w:id="55208953">
          <w:marLeft w:val="0"/>
          <w:marRight w:val="0"/>
          <w:marTop w:val="0"/>
          <w:marBottom w:val="0"/>
          <w:divBdr>
            <w:top w:val="none" w:sz="0" w:space="0" w:color="auto"/>
            <w:left w:val="none" w:sz="0" w:space="0" w:color="auto"/>
            <w:bottom w:val="none" w:sz="0" w:space="0" w:color="auto"/>
            <w:right w:val="none" w:sz="0" w:space="0" w:color="auto"/>
          </w:divBdr>
        </w:div>
        <w:div w:id="1408113890">
          <w:marLeft w:val="0"/>
          <w:marRight w:val="0"/>
          <w:marTop w:val="0"/>
          <w:marBottom w:val="0"/>
          <w:divBdr>
            <w:top w:val="none" w:sz="0" w:space="0" w:color="auto"/>
            <w:left w:val="none" w:sz="0" w:space="0" w:color="auto"/>
            <w:bottom w:val="none" w:sz="0" w:space="0" w:color="auto"/>
            <w:right w:val="none" w:sz="0" w:space="0" w:color="auto"/>
          </w:divBdr>
        </w:div>
        <w:div w:id="173570369">
          <w:marLeft w:val="0"/>
          <w:marRight w:val="0"/>
          <w:marTop w:val="0"/>
          <w:marBottom w:val="0"/>
          <w:divBdr>
            <w:top w:val="none" w:sz="0" w:space="0" w:color="auto"/>
            <w:left w:val="none" w:sz="0" w:space="0" w:color="auto"/>
            <w:bottom w:val="none" w:sz="0" w:space="0" w:color="auto"/>
            <w:right w:val="none" w:sz="0" w:space="0" w:color="auto"/>
          </w:divBdr>
        </w:div>
        <w:div w:id="1749107005">
          <w:marLeft w:val="0"/>
          <w:marRight w:val="0"/>
          <w:marTop w:val="0"/>
          <w:marBottom w:val="0"/>
          <w:divBdr>
            <w:top w:val="none" w:sz="0" w:space="0" w:color="auto"/>
            <w:left w:val="none" w:sz="0" w:space="0" w:color="auto"/>
            <w:bottom w:val="none" w:sz="0" w:space="0" w:color="auto"/>
            <w:right w:val="none" w:sz="0" w:space="0" w:color="auto"/>
          </w:divBdr>
        </w:div>
        <w:div w:id="1657802807">
          <w:marLeft w:val="0"/>
          <w:marRight w:val="0"/>
          <w:marTop w:val="0"/>
          <w:marBottom w:val="0"/>
          <w:divBdr>
            <w:top w:val="none" w:sz="0" w:space="0" w:color="auto"/>
            <w:left w:val="none" w:sz="0" w:space="0" w:color="auto"/>
            <w:bottom w:val="none" w:sz="0" w:space="0" w:color="auto"/>
            <w:right w:val="none" w:sz="0" w:space="0" w:color="auto"/>
          </w:divBdr>
        </w:div>
        <w:div w:id="150490328">
          <w:marLeft w:val="0"/>
          <w:marRight w:val="0"/>
          <w:marTop w:val="0"/>
          <w:marBottom w:val="0"/>
          <w:divBdr>
            <w:top w:val="none" w:sz="0" w:space="0" w:color="auto"/>
            <w:left w:val="none" w:sz="0" w:space="0" w:color="auto"/>
            <w:bottom w:val="none" w:sz="0" w:space="0" w:color="auto"/>
            <w:right w:val="none" w:sz="0" w:space="0" w:color="auto"/>
          </w:divBdr>
        </w:div>
        <w:div w:id="702901705">
          <w:marLeft w:val="0"/>
          <w:marRight w:val="0"/>
          <w:marTop w:val="0"/>
          <w:marBottom w:val="0"/>
          <w:divBdr>
            <w:top w:val="none" w:sz="0" w:space="0" w:color="auto"/>
            <w:left w:val="none" w:sz="0" w:space="0" w:color="auto"/>
            <w:bottom w:val="none" w:sz="0" w:space="0" w:color="auto"/>
            <w:right w:val="none" w:sz="0" w:space="0" w:color="auto"/>
          </w:divBdr>
        </w:div>
        <w:div w:id="1819758016">
          <w:marLeft w:val="0"/>
          <w:marRight w:val="0"/>
          <w:marTop w:val="0"/>
          <w:marBottom w:val="0"/>
          <w:divBdr>
            <w:top w:val="none" w:sz="0" w:space="0" w:color="auto"/>
            <w:left w:val="none" w:sz="0" w:space="0" w:color="auto"/>
            <w:bottom w:val="none" w:sz="0" w:space="0" w:color="auto"/>
            <w:right w:val="none" w:sz="0" w:space="0" w:color="auto"/>
          </w:divBdr>
        </w:div>
        <w:div w:id="1690981061">
          <w:marLeft w:val="0"/>
          <w:marRight w:val="0"/>
          <w:marTop w:val="0"/>
          <w:marBottom w:val="0"/>
          <w:divBdr>
            <w:top w:val="none" w:sz="0" w:space="0" w:color="auto"/>
            <w:left w:val="none" w:sz="0" w:space="0" w:color="auto"/>
            <w:bottom w:val="none" w:sz="0" w:space="0" w:color="auto"/>
            <w:right w:val="none" w:sz="0" w:space="0" w:color="auto"/>
          </w:divBdr>
        </w:div>
        <w:div w:id="2125346714">
          <w:marLeft w:val="0"/>
          <w:marRight w:val="0"/>
          <w:marTop w:val="0"/>
          <w:marBottom w:val="0"/>
          <w:divBdr>
            <w:top w:val="none" w:sz="0" w:space="0" w:color="auto"/>
            <w:left w:val="none" w:sz="0" w:space="0" w:color="auto"/>
            <w:bottom w:val="none" w:sz="0" w:space="0" w:color="auto"/>
            <w:right w:val="none" w:sz="0" w:space="0" w:color="auto"/>
          </w:divBdr>
        </w:div>
        <w:div w:id="782576492">
          <w:marLeft w:val="0"/>
          <w:marRight w:val="0"/>
          <w:marTop w:val="0"/>
          <w:marBottom w:val="0"/>
          <w:divBdr>
            <w:top w:val="none" w:sz="0" w:space="0" w:color="auto"/>
            <w:left w:val="none" w:sz="0" w:space="0" w:color="auto"/>
            <w:bottom w:val="none" w:sz="0" w:space="0" w:color="auto"/>
            <w:right w:val="none" w:sz="0" w:space="0" w:color="auto"/>
          </w:divBdr>
        </w:div>
        <w:div w:id="1907495902">
          <w:marLeft w:val="0"/>
          <w:marRight w:val="0"/>
          <w:marTop w:val="0"/>
          <w:marBottom w:val="0"/>
          <w:divBdr>
            <w:top w:val="none" w:sz="0" w:space="0" w:color="auto"/>
            <w:left w:val="none" w:sz="0" w:space="0" w:color="auto"/>
            <w:bottom w:val="none" w:sz="0" w:space="0" w:color="auto"/>
            <w:right w:val="none" w:sz="0" w:space="0" w:color="auto"/>
          </w:divBdr>
        </w:div>
        <w:div w:id="834567781">
          <w:marLeft w:val="0"/>
          <w:marRight w:val="0"/>
          <w:marTop w:val="0"/>
          <w:marBottom w:val="0"/>
          <w:divBdr>
            <w:top w:val="none" w:sz="0" w:space="0" w:color="auto"/>
            <w:left w:val="none" w:sz="0" w:space="0" w:color="auto"/>
            <w:bottom w:val="none" w:sz="0" w:space="0" w:color="auto"/>
            <w:right w:val="none" w:sz="0" w:space="0" w:color="auto"/>
          </w:divBdr>
        </w:div>
        <w:div w:id="550926155">
          <w:marLeft w:val="0"/>
          <w:marRight w:val="0"/>
          <w:marTop w:val="0"/>
          <w:marBottom w:val="0"/>
          <w:divBdr>
            <w:top w:val="none" w:sz="0" w:space="0" w:color="auto"/>
            <w:left w:val="none" w:sz="0" w:space="0" w:color="auto"/>
            <w:bottom w:val="none" w:sz="0" w:space="0" w:color="auto"/>
            <w:right w:val="none" w:sz="0" w:space="0" w:color="auto"/>
          </w:divBdr>
        </w:div>
        <w:div w:id="798575612">
          <w:marLeft w:val="0"/>
          <w:marRight w:val="0"/>
          <w:marTop w:val="0"/>
          <w:marBottom w:val="0"/>
          <w:divBdr>
            <w:top w:val="none" w:sz="0" w:space="0" w:color="auto"/>
            <w:left w:val="none" w:sz="0" w:space="0" w:color="auto"/>
            <w:bottom w:val="none" w:sz="0" w:space="0" w:color="auto"/>
            <w:right w:val="none" w:sz="0" w:space="0" w:color="auto"/>
          </w:divBdr>
        </w:div>
        <w:div w:id="481389416">
          <w:marLeft w:val="0"/>
          <w:marRight w:val="0"/>
          <w:marTop w:val="0"/>
          <w:marBottom w:val="0"/>
          <w:divBdr>
            <w:top w:val="none" w:sz="0" w:space="0" w:color="auto"/>
            <w:left w:val="none" w:sz="0" w:space="0" w:color="auto"/>
            <w:bottom w:val="none" w:sz="0" w:space="0" w:color="auto"/>
            <w:right w:val="none" w:sz="0" w:space="0" w:color="auto"/>
          </w:divBdr>
        </w:div>
        <w:div w:id="791092990">
          <w:marLeft w:val="0"/>
          <w:marRight w:val="0"/>
          <w:marTop w:val="0"/>
          <w:marBottom w:val="0"/>
          <w:divBdr>
            <w:top w:val="none" w:sz="0" w:space="0" w:color="auto"/>
            <w:left w:val="none" w:sz="0" w:space="0" w:color="auto"/>
            <w:bottom w:val="none" w:sz="0" w:space="0" w:color="auto"/>
            <w:right w:val="none" w:sz="0" w:space="0" w:color="auto"/>
          </w:divBdr>
        </w:div>
        <w:div w:id="2015184010">
          <w:marLeft w:val="0"/>
          <w:marRight w:val="0"/>
          <w:marTop w:val="0"/>
          <w:marBottom w:val="0"/>
          <w:divBdr>
            <w:top w:val="none" w:sz="0" w:space="0" w:color="auto"/>
            <w:left w:val="none" w:sz="0" w:space="0" w:color="auto"/>
            <w:bottom w:val="none" w:sz="0" w:space="0" w:color="auto"/>
            <w:right w:val="none" w:sz="0" w:space="0" w:color="auto"/>
          </w:divBdr>
        </w:div>
        <w:div w:id="113141098">
          <w:marLeft w:val="0"/>
          <w:marRight w:val="0"/>
          <w:marTop w:val="0"/>
          <w:marBottom w:val="0"/>
          <w:divBdr>
            <w:top w:val="none" w:sz="0" w:space="0" w:color="auto"/>
            <w:left w:val="none" w:sz="0" w:space="0" w:color="auto"/>
            <w:bottom w:val="none" w:sz="0" w:space="0" w:color="auto"/>
            <w:right w:val="none" w:sz="0" w:space="0" w:color="auto"/>
          </w:divBdr>
        </w:div>
        <w:div w:id="1271666196">
          <w:marLeft w:val="0"/>
          <w:marRight w:val="0"/>
          <w:marTop w:val="0"/>
          <w:marBottom w:val="0"/>
          <w:divBdr>
            <w:top w:val="none" w:sz="0" w:space="0" w:color="auto"/>
            <w:left w:val="none" w:sz="0" w:space="0" w:color="auto"/>
            <w:bottom w:val="none" w:sz="0" w:space="0" w:color="auto"/>
            <w:right w:val="none" w:sz="0" w:space="0" w:color="auto"/>
          </w:divBdr>
        </w:div>
        <w:div w:id="184053286">
          <w:marLeft w:val="0"/>
          <w:marRight w:val="0"/>
          <w:marTop w:val="0"/>
          <w:marBottom w:val="0"/>
          <w:divBdr>
            <w:top w:val="none" w:sz="0" w:space="0" w:color="auto"/>
            <w:left w:val="none" w:sz="0" w:space="0" w:color="auto"/>
            <w:bottom w:val="none" w:sz="0" w:space="0" w:color="auto"/>
            <w:right w:val="none" w:sz="0" w:space="0" w:color="auto"/>
          </w:divBdr>
        </w:div>
        <w:div w:id="1619525795">
          <w:marLeft w:val="0"/>
          <w:marRight w:val="0"/>
          <w:marTop w:val="0"/>
          <w:marBottom w:val="0"/>
          <w:divBdr>
            <w:top w:val="none" w:sz="0" w:space="0" w:color="auto"/>
            <w:left w:val="none" w:sz="0" w:space="0" w:color="auto"/>
            <w:bottom w:val="none" w:sz="0" w:space="0" w:color="auto"/>
            <w:right w:val="none" w:sz="0" w:space="0" w:color="auto"/>
          </w:divBdr>
        </w:div>
        <w:div w:id="1706322885">
          <w:marLeft w:val="0"/>
          <w:marRight w:val="0"/>
          <w:marTop w:val="0"/>
          <w:marBottom w:val="0"/>
          <w:divBdr>
            <w:top w:val="none" w:sz="0" w:space="0" w:color="auto"/>
            <w:left w:val="none" w:sz="0" w:space="0" w:color="auto"/>
            <w:bottom w:val="none" w:sz="0" w:space="0" w:color="auto"/>
            <w:right w:val="none" w:sz="0" w:space="0" w:color="auto"/>
          </w:divBdr>
        </w:div>
        <w:div w:id="70782867">
          <w:marLeft w:val="0"/>
          <w:marRight w:val="0"/>
          <w:marTop w:val="0"/>
          <w:marBottom w:val="0"/>
          <w:divBdr>
            <w:top w:val="none" w:sz="0" w:space="0" w:color="auto"/>
            <w:left w:val="none" w:sz="0" w:space="0" w:color="auto"/>
            <w:bottom w:val="none" w:sz="0" w:space="0" w:color="auto"/>
            <w:right w:val="none" w:sz="0" w:space="0" w:color="auto"/>
          </w:divBdr>
        </w:div>
        <w:div w:id="2103792003">
          <w:marLeft w:val="0"/>
          <w:marRight w:val="0"/>
          <w:marTop w:val="0"/>
          <w:marBottom w:val="0"/>
          <w:divBdr>
            <w:top w:val="none" w:sz="0" w:space="0" w:color="auto"/>
            <w:left w:val="none" w:sz="0" w:space="0" w:color="auto"/>
            <w:bottom w:val="none" w:sz="0" w:space="0" w:color="auto"/>
            <w:right w:val="none" w:sz="0" w:space="0" w:color="auto"/>
          </w:divBdr>
        </w:div>
        <w:div w:id="1000238194">
          <w:marLeft w:val="0"/>
          <w:marRight w:val="0"/>
          <w:marTop w:val="0"/>
          <w:marBottom w:val="0"/>
          <w:divBdr>
            <w:top w:val="none" w:sz="0" w:space="0" w:color="auto"/>
            <w:left w:val="none" w:sz="0" w:space="0" w:color="auto"/>
            <w:bottom w:val="none" w:sz="0" w:space="0" w:color="auto"/>
            <w:right w:val="none" w:sz="0" w:space="0" w:color="auto"/>
          </w:divBdr>
        </w:div>
        <w:div w:id="1947152652">
          <w:marLeft w:val="0"/>
          <w:marRight w:val="0"/>
          <w:marTop w:val="0"/>
          <w:marBottom w:val="0"/>
          <w:divBdr>
            <w:top w:val="none" w:sz="0" w:space="0" w:color="auto"/>
            <w:left w:val="none" w:sz="0" w:space="0" w:color="auto"/>
            <w:bottom w:val="none" w:sz="0" w:space="0" w:color="auto"/>
            <w:right w:val="none" w:sz="0" w:space="0" w:color="auto"/>
          </w:divBdr>
        </w:div>
        <w:div w:id="721057461">
          <w:marLeft w:val="0"/>
          <w:marRight w:val="0"/>
          <w:marTop w:val="0"/>
          <w:marBottom w:val="0"/>
          <w:divBdr>
            <w:top w:val="none" w:sz="0" w:space="0" w:color="auto"/>
            <w:left w:val="none" w:sz="0" w:space="0" w:color="auto"/>
            <w:bottom w:val="none" w:sz="0" w:space="0" w:color="auto"/>
            <w:right w:val="none" w:sz="0" w:space="0" w:color="auto"/>
          </w:divBdr>
        </w:div>
        <w:div w:id="463929690">
          <w:marLeft w:val="0"/>
          <w:marRight w:val="0"/>
          <w:marTop w:val="0"/>
          <w:marBottom w:val="0"/>
          <w:divBdr>
            <w:top w:val="none" w:sz="0" w:space="0" w:color="auto"/>
            <w:left w:val="none" w:sz="0" w:space="0" w:color="auto"/>
            <w:bottom w:val="none" w:sz="0" w:space="0" w:color="auto"/>
            <w:right w:val="none" w:sz="0" w:space="0" w:color="auto"/>
          </w:divBdr>
        </w:div>
        <w:div w:id="1388645211">
          <w:marLeft w:val="0"/>
          <w:marRight w:val="0"/>
          <w:marTop w:val="0"/>
          <w:marBottom w:val="0"/>
          <w:divBdr>
            <w:top w:val="none" w:sz="0" w:space="0" w:color="auto"/>
            <w:left w:val="none" w:sz="0" w:space="0" w:color="auto"/>
            <w:bottom w:val="none" w:sz="0" w:space="0" w:color="auto"/>
            <w:right w:val="none" w:sz="0" w:space="0" w:color="auto"/>
          </w:divBdr>
        </w:div>
        <w:div w:id="685596204">
          <w:marLeft w:val="0"/>
          <w:marRight w:val="0"/>
          <w:marTop w:val="0"/>
          <w:marBottom w:val="0"/>
          <w:divBdr>
            <w:top w:val="none" w:sz="0" w:space="0" w:color="auto"/>
            <w:left w:val="none" w:sz="0" w:space="0" w:color="auto"/>
            <w:bottom w:val="none" w:sz="0" w:space="0" w:color="auto"/>
            <w:right w:val="none" w:sz="0" w:space="0" w:color="auto"/>
          </w:divBdr>
        </w:div>
        <w:div w:id="1750617247">
          <w:marLeft w:val="0"/>
          <w:marRight w:val="0"/>
          <w:marTop w:val="0"/>
          <w:marBottom w:val="0"/>
          <w:divBdr>
            <w:top w:val="none" w:sz="0" w:space="0" w:color="auto"/>
            <w:left w:val="none" w:sz="0" w:space="0" w:color="auto"/>
            <w:bottom w:val="none" w:sz="0" w:space="0" w:color="auto"/>
            <w:right w:val="none" w:sz="0" w:space="0" w:color="auto"/>
          </w:divBdr>
        </w:div>
        <w:div w:id="82075486">
          <w:marLeft w:val="0"/>
          <w:marRight w:val="0"/>
          <w:marTop w:val="0"/>
          <w:marBottom w:val="0"/>
          <w:divBdr>
            <w:top w:val="none" w:sz="0" w:space="0" w:color="auto"/>
            <w:left w:val="none" w:sz="0" w:space="0" w:color="auto"/>
            <w:bottom w:val="none" w:sz="0" w:space="0" w:color="auto"/>
            <w:right w:val="none" w:sz="0" w:space="0" w:color="auto"/>
          </w:divBdr>
        </w:div>
        <w:div w:id="1059209554">
          <w:marLeft w:val="0"/>
          <w:marRight w:val="0"/>
          <w:marTop w:val="0"/>
          <w:marBottom w:val="0"/>
          <w:divBdr>
            <w:top w:val="none" w:sz="0" w:space="0" w:color="auto"/>
            <w:left w:val="none" w:sz="0" w:space="0" w:color="auto"/>
            <w:bottom w:val="none" w:sz="0" w:space="0" w:color="auto"/>
            <w:right w:val="none" w:sz="0" w:space="0" w:color="auto"/>
          </w:divBdr>
        </w:div>
        <w:div w:id="108748493">
          <w:marLeft w:val="0"/>
          <w:marRight w:val="0"/>
          <w:marTop w:val="0"/>
          <w:marBottom w:val="0"/>
          <w:divBdr>
            <w:top w:val="none" w:sz="0" w:space="0" w:color="auto"/>
            <w:left w:val="none" w:sz="0" w:space="0" w:color="auto"/>
            <w:bottom w:val="none" w:sz="0" w:space="0" w:color="auto"/>
            <w:right w:val="none" w:sz="0" w:space="0" w:color="auto"/>
          </w:divBdr>
        </w:div>
        <w:div w:id="292102234">
          <w:marLeft w:val="0"/>
          <w:marRight w:val="0"/>
          <w:marTop w:val="0"/>
          <w:marBottom w:val="0"/>
          <w:divBdr>
            <w:top w:val="none" w:sz="0" w:space="0" w:color="auto"/>
            <w:left w:val="none" w:sz="0" w:space="0" w:color="auto"/>
            <w:bottom w:val="none" w:sz="0" w:space="0" w:color="auto"/>
            <w:right w:val="none" w:sz="0" w:space="0" w:color="auto"/>
          </w:divBdr>
        </w:div>
        <w:div w:id="861086707">
          <w:marLeft w:val="0"/>
          <w:marRight w:val="0"/>
          <w:marTop w:val="0"/>
          <w:marBottom w:val="0"/>
          <w:divBdr>
            <w:top w:val="none" w:sz="0" w:space="0" w:color="auto"/>
            <w:left w:val="none" w:sz="0" w:space="0" w:color="auto"/>
            <w:bottom w:val="none" w:sz="0" w:space="0" w:color="auto"/>
            <w:right w:val="none" w:sz="0" w:space="0" w:color="auto"/>
          </w:divBdr>
        </w:div>
        <w:div w:id="620306382">
          <w:marLeft w:val="0"/>
          <w:marRight w:val="0"/>
          <w:marTop w:val="0"/>
          <w:marBottom w:val="0"/>
          <w:divBdr>
            <w:top w:val="none" w:sz="0" w:space="0" w:color="auto"/>
            <w:left w:val="none" w:sz="0" w:space="0" w:color="auto"/>
            <w:bottom w:val="none" w:sz="0" w:space="0" w:color="auto"/>
            <w:right w:val="none" w:sz="0" w:space="0" w:color="auto"/>
          </w:divBdr>
        </w:div>
        <w:div w:id="626207966">
          <w:marLeft w:val="0"/>
          <w:marRight w:val="0"/>
          <w:marTop w:val="0"/>
          <w:marBottom w:val="0"/>
          <w:divBdr>
            <w:top w:val="none" w:sz="0" w:space="0" w:color="auto"/>
            <w:left w:val="none" w:sz="0" w:space="0" w:color="auto"/>
            <w:bottom w:val="none" w:sz="0" w:space="0" w:color="auto"/>
            <w:right w:val="none" w:sz="0" w:space="0" w:color="auto"/>
          </w:divBdr>
        </w:div>
        <w:div w:id="1459375247">
          <w:marLeft w:val="0"/>
          <w:marRight w:val="0"/>
          <w:marTop w:val="0"/>
          <w:marBottom w:val="0"/>
          <w:divBdr>
            <w:top w:val="none" w:sz="0" w:space="0" w:color="auto"/>
            <w:left w:val="none" w:sz="0" w:space="0" w:color="auto"/>
            <w:bottom w:val="none" w:sz="0" w:space="0" w:color="auto"/>
            <w:right w:val="none" w:sz="0" w:space="0" w:color="auto"/>
          </w:divBdr>
        </w:div>
        <w:div w:id="447896941">
          <w:marLeft w:val="0"/>
          <w:marRight w:val="0"/>
          <w:marTop w:val="0"/>
          <w:marBottom w:val="0"/>
          <w:divBdr>
            <w:top w:val="none" w:sz="0" w:space="0" w:color="auto"/>
            <w:left w:val="none" w:sz="0" w:space="0" w:color="auto"/>
            <w:bottom w:val="none" w:sz="0" w:space="0" w:color="auto"/>
            <w:right w:val="none" w:sz="0" w:space="0" w:color="auto"/>
          </w:divBdr>
        </w:div>
        <w:div w:id="923300218">
          <w:marLeft w:val="0"/>
          <w:marRight w:val="0"/>
          <w:marTop w:val="0"/>
          <w:marBottom w:val="0"/>
          <w:divBdr>
            <w:top w:val="none" w:sz="0" w:space="0" w:color="auto"/>
            <w:left w:val="none" w:sz="0" w:space="0" w:color="auto"/>
            <w:bottom w:val="none" w:sz="0" w:space="0" w:color="auto"/>
            <w:right w:val="none" w:sz="0" w:space="0" w:color="auto"/>
          </w:divBdr>
        </w:div>
        <w:div w:id="192577501">
          <w:marLeft w:val="0"/>
          <w:marRight w:val="0"/>
          <w:marTop w:val="0"/>
          <w:marBottom w:val="0"/>
          <w:divBdr>
            <w:top w:val="none" w:sz="0" w:space="0" w:color="auto"/>
            <w:left w:val="none" w:sz="0" w:space="0" w:color="auto"/>
            <w:bottom w:val="none" w:sz="0" w:space="0" w:color="auto"/>
            <w:right w:val="none" w:sz="0" w:space="0" w:color="auto"/>
          </w:divBdr>
        </w:div>
        <w:div w:id="2099134776">
          <w:marLeft w:val="0"/>
          <w:marRight w:val="0"/>
          <w:marTop w:val="0"/>
          <w:marBottom w:val="0"/>
          <w:divBdr>
            <w:top w:val="none" w:sz="0" w:space="0" w:color="auto"/>
            <w:left w:val="none" w:sz="0" w:space="0" w:color="auto"/>
            <w:bottom w:val="none" w:sz="0" w:space="0" w:color="auto"/>
            <w:right w:val="none" w:sz="0" w:space="0" w:color="auto"/>
          </w:divBdr>
        </w:div>
        <w:div w:id="240604095">
          <w:marLeft w:val="0"/>
          <w:marRight w:val="0"/>
          <w:marTop w:val="0"/>
          <w:marBottom w:val="0"/>
          <w:divBdr>
            <w:top w:val="none" w:sz="0" w:space="0" w:color="auto"/>
            <w:left w:val="none" w:sz="0" w:space="0" w:color="auto"/>
            <w:bottom w:val="none" w:sz="0" w:space="0" w:color="auto"/>
            <w:right w:val="none" w:sz="0" w:space="0" w:color="auto"/>
          </w:divBdr>
        </w:div>
        <w:div w:id="2030595449">
          <w:marLeft w:val="0"/>
          <w:marRight w:val="0"/>
          <w:marTop w:val="0"/>
          <w:marBottom w:val="0"/>
          <w:divBdr>
            <w:top w:val="none" w:sz="0" w:space="0" w:color="auto"/>
            <w:left w:val="none" w:sz="0" w:space="0" w:color="auto"/>
            <w:bottom w:val="none" w:sz="0" w:space="0" w:color="auto"/>
            <w:right w:val="none" w:sz="0" w:space="0" w:color="auto"/>
          </w:divBdr>
        </w:div>
        <w:div w:id="1724986486">
          <w:marLeft w:val="0"/>
          <w:marRight w:val="0"/>
          <w:marTop w:val="0"/>
          <w:marBottom w:val="0"/>
          <w:divBdr>
            <w:top w:val="none" w:sz="0" w:space="0" w:color="auto"/>
            <w:left w:val="none" w:sz="0" w:space="0" w:color="auto"/>
            <w:bottom w:val="none" w:sz="0" w:space="0" w:color="auto"/>
            <w:right w:val="none" w:sz="0" w:space="0" w:color="auto"/>
          </w:divBdr>
        </w:div>
        <w:div w:id="493031782">
          <w:marLeft w:val="0"/>
          <w:marRight w:val="0"/>
          <w:marTop w:val="0"/>
          <w:marBottom w:val="0"/>
          <w:divBdr>
            <w:top w:val="none" w:sz="0" w:space="0" w:color="auto"/>
            <w:left w:val="none" w:sz="0" w:space="0" w:color="auto"/>
            <w:bottom w:val="none" w:sz="0" w:space="0" w:color="auto"/>
            <w:right w:val="none" w:sz="0" w:space="0" w:color="auto"/>
          </w:divBdr>
        </w:div>
        <w:div w:id="28336518">
          <w:marLeft w:val="0"/>
          <w:marRight w:val="0"/>
          <w:marTop w:val="0"/>
          <w:marBottom w:val="0"/>
          <w:divBdr>
            <w:top w:val="none" w:sz="0" w:space="0" w:color="auto"/>
            <w:left w:val="none" w:sz="0" w:space="0" w:color="auto"/>
            <w:bottom w:val="none" w:sz="0" w:space="0" w:color="auto"/>
            <w:right w:val="none" w:sz="0" w:space="0" w:color="auto"/>
          </w:divBdr>
        </w:div>
        <w:div w:id="1864250354">
          <w:marLeft w:val="0"/>
          <w:marRight w:val="0"/>
          <w:marTop w:val="0"/>
          <w:marBottom w:val="0"/>
          <w:divBdr>
            <w:top w:val="none" w:sz="0" w:space="0" w:color="auto"/>
            <w:left w:val="none" w:sz="0" w:space="0" w:color="auto"/>
            <w:bottom w:val="none" w:sz="0" w:space="0" w:color="auto"/>
            <w:right w:val="none" w:sz="0" w:space="0" w:color="auto"/>
          </w:divBdr>
        </w:div>
        <w:div w:id="1743064661">
          <w:marLeft w:val="0"/>
          <w:marRight w:val="0"/>
          <w:marTop w:val="0"/>
          <w:marBottom w:val="0"/>
          <w:divBdr>
            <w:top w:val="none" w:sz="0" w:space="0" w:color="auto"/>
            <w:left w:val="none" w:sz="0" w:space="0" w:color="auto"/>
            <w:bottom w:val="none" w:sz="0" w:space="0" w:color="auto"/>
            <w:right w:val="none" w:sz="0" w:space="0" w:color="auto"/>
          </w:divBdr>
        </w:div>
        <w:div w:id="1517770763">
          <w:marLeft w:val="0"/>
          <w:marRight w:val="0"/>
          <w:marTop w:val="0"/>
          <w:marBottom w:val="0"/>
          <w:divBdr>
            <w:top w:val="none" w:sz="0" w:space="0" w:color="auto"/>
            <w:left w:val="none" w:sz="0" w:space="0" w:color="auto"/>
            <w:bottom w:val="none" w:sz="0" w:space="0" w:color="auto"/>
            <w:right w:val="none" w:sz="0" w:space="0" w:color="auto"/>
          </w:divBdr>
        </w:div>
        <w:div w:id="1329480543">
          <w:marLeft w:val="0"/>
          <w:marRight w:val="0"/>
          <w:marTop w:val="0"/>
          <w:marBottom w:val="0"/>
          <w:divBdr>
            <w:top w:val="none" w:sz="0" w:space="0" w:color="auto"/>
            <w:left w:val="none" w:sz="0" w:space="0" w:color="auto"/>
            <w:bottom w:val="none" w:sz="0" w:space="0" w:color="auto"/>
            <w:right w:val="none" w:sz="0" w:space="0" w:color="auto"/>
          </w:divBdr>
        </w:div>
        <w:div w:id="833953409">
          <w:marLeft w:val="0"/>
          <w:marRight w:val="0"/>
          <w:marTop w:val="0"/>
          <w:marBottom w:val="0"/>
          <w:divBdr>
            <w:top w:val="none" w:sz="0" w:space="0" w:color="auto"/>
            <w:left w:val="none" w:sz="0" w:space="0" w:color="auto"/>
            <w:bottom w:val="none" w:sz="0" w:space="0" w:color="auto"/>
            <w:right w:val="none" w:sz="0" w:space="0" w:color="auto"/>
          </w:divBdr>
        </w:div>
        <w:div w:id="1065178565">
          <w:marLeft w:val="0"/>
          <w:marRight w:val="0"/>
          <w:marTop w:val="0"/>
          <w:marBottom w:val="0"/>
          <w:divBdr>
            <w:top w:val="none" w:sz="0" w:space="0" w:color="auto"/>
            <w:left w:val="none" w:sz="0" w:space="0" w:color="auto"/>
            <w:bottom w:val="none" w:sz="0" w:space="0" w:color="auto"/>
            <w:right w:val="none" w:sz="0" w:space="0" w:color="auto"/>
          </w:divBdr>
        </w:div>
        <w:div w:id="206259790">
          <w:marLeft w:val="0"/>
          <w:marRight w:val="0"/>
          <w:marTop w:val="0"/>
          <w:marBottom w:val="0"/>
          <w:divBdr>
            <w:top w:val="none" w:sz="0" w:space="0" w:color="auto"/>
            <w:left w:val="none" w:sz="0" w:space="0" w:color="auto"/>
            <w:bottom w:val="none" w:sz="0" w:space="0" w:color="auto"/>
            <w:right w:val="none" w:sz="0" w:space="0" w:color="auto"/>
          </w:divBdr>
        </w:div>
        <w:div w:id="1224952480">
          <w:marLeft w:val="0"/>
          <w:marRight w:val="0"/>
          <w:marTop w:val="0"/>
          <w:marBottom w:val="0"/>
          <w:divBdr>
            <w:top w:val="none" w:sz="0" w:space="0" w:color="auto"/>
            <w:left w:val="none" w:sz="0" w:space="0" w:color="auto"/>
            <w:bottom w:val="none" w:sz="0" w:space="0" w:color="auto"/>
            <w:right w:val="none" w:sz="0" w:space="0" w:color="auto"/>
          </w:divBdr>
        </w:div>
        <w:div w:id="1764720163">
          <w:marLeft w:val="0"/>
          <w:marRight w:val="0"/>
          <w:marTop w:val="0"/>
          <w:marBottom w:val="0"/>
          <w:divBdr>
            <w:top w:val="none" w:sz="0" w:space="0" w:color="auto"/>
            <w:left w:val="none" w:sz="0" w:space="0" w:color="auto"/>
            <w:bottom w:val="none" w:sz="0" w:space="0" w:color="auto"/>
            <w:right w:val="none" w:sz="0" w:space="0" w:color="auto"/>
          </w:divBdr>
        </w:div>
        <w:div w:id="586380611">
          <w:marLeft w:val="0"/>
          <w:marRight w:val="0"/>
          <w:marTop w:val="0"/>
          <w:marBottom w:val="0"/>
          <w:divBdr>
            <w:top w:val="none" w:sz="0" w:space="0" w:color="auto"/>
            <w:left w:val="none" w:sz="0" w:space="0" w:color="auto"/>
            <w:bottom w:val="none" w:sz="0" w:space="0" w:color="auto"/>
            <w:right w:val="none" w:sz="0" w:space="0" w:color="auto"/>
          </w:divBdr>
        </w:div>
        <w:div w:id="605578402">
          <w:marLeft w:val="0"/>
          <w:marRight w:val="0"/>
          <w:marTop w:val="0"/>
          <w:marBottom w:val="0"/>
          <w:divBdr>
            <w:top w:val="none" w:sz="0" w:space="0" w:color="auto"/>
            <w:left w:val="none" w:sz="0" w:space="0" w:color="auto"/>
            <w:bottom w:val="none" w:sz="0" w:space="0" w:color="auto"/>
            <w:right w:val="none" w:sz="0" w:space="0" w:color="auto"/>
          </w:divBdr>
        </w:div>
        <w:div w:id="1113549659">
          <w:marLeft w:val="0"/>
          <w:marRight w:val="0"/>
          <w:marTop w:val="0"/>
          <w:marBottom w:val="0"/>
          <w:divBdr>
            <w:top w:val="none" w:sz="0" w:space="0" w:color="auto"/>
            <w:left w:val="none" w:sz="0" w:space="0" w:color="auto"/>
            <w:bottom w:val="none" w:sz="0" w:space="0" w:color="auto"/>
            <w:right w:val="none" w:sz="0" w:space="0" w:color="auto"/>
          </w:divBdr>
        </w:div>
        <w:div w:id="939030048">
          <w:marLeft w:val="0"/>
          <w:marRight w:val="0"/>
          <w:marTop w:val="0"/>
          <w:marBottom w:val="0"/>
          <w:divBdr>
            <w:top w:val="none" w:sz="0" w:space="0" w:color="auto"/>
            <w:left w:val="none" w:sz="0" w:space="0" w:color="auto"/>
            <w:bottom w:val="none" w:sz="0" w:space="0" w:color="auto"/>
            <w:right w:val="none" w:sz="0" w:space="0" w:color="auto"/>
          </w:divBdr>
        </w:div>
        <w:div w:id="1548182838">
          <w:marLeft w:val="0"/>
          <w:marRight w:val="0"/>
          <w:marTop w:val="0"/>
          <w:marBottom w:val="0"/>
          <w:divBdr>
            <w:top w:val="none" w:sz="0" w:space="0" w:color="auto"/>
            <w:left w:val="none" w:sz="0" w:space="0" w:color="auto"/>
            <w:bottom w:val="none" w:sz="0" w:space="0" w:color="auto"/>
            <w:right w:val="none" w:sz="0" w:space="0" w:color="auto"/>
          </w:divBdr>
        </w:div>
        <w:div w:id="2089574918">
          <w:marLeft w:val="0"/>
          <w:marRight w:val="0"/>
          <w:marTop w:val="0"/>
          <w:marBottom w:val="0"/>
          <w:divBdr>
            <w:top w:val="none" w:sz="0" w:space="0" w:color="auto"/>
            <w:left w:val="none" w:sz="0" w:space="0" w:color="auto"/>
            <w:bottom w:val="none" w:sz="0" w:space="0" w:color="auto"/>
            <w:right w:val="none" w:sz="0" w:space="0" w:color="auto"/>
          </w:divBdr>
        </w:div>
        <w:div w:id="771629414">
          <w:marLeft w:val="0"/>
          <w:marRight w:val="0"/>
          <w:marTop w:val="0"/>
          <w:marBottom w:val="0"/>
          <w:divBdr>
            <w:top w:val="none" w:sz="0" w:space="0" w:color="auto"/>
            <w:left w:val="none" w:sz="0" w:space="0" w:color="auto"/>
            <w:bottom w:val="none" w:sz="0" w:space="0" w:color="auto"/>
            <w:right w:val="none" w:sz="0" w:space="0" w:color="auto"/>
          </w:divBdr>
        </w:div>
        <w:div w:id="1371228984">
          <w:marLeft w:val="0"/>
          <w:marRight w:val="0"/>
          <w:marTop w:val="0"/>
          <w:marBottom w:val="0"/>
          <w:divBdr>
            <w:top w:val="none" w:sz="0" w:space="0" w:color="auto"/>
            <w:left w:val="none" w:sz="0" w:space="0" w:color="auto"/>
            <w:bottom w:val="none" w:sz="0" w:space="0" w:color="auto"/>
            <w:right w:val="none" w:sz="0" w:space="0" w:color="auto"/>
          </w:divBdr>
        </w:div>
        <w:div w:id="1288389847">
          <w:marLeft w:val="0"/>
          <w:marRight w:val="0"/>
          <w:marTop w:val="0"/>
          <w:marBottom w:val="0"/>
          <w:divBdr>
            <w:top w:val="none" w:sz="0" w:space="0" w:color="auto"/>
            <w:left w:val="none" w:sz="0" w:space="0" w:color="auto"/>
            <w:bottom w:val="none" w:sz="0" w:space="0" w:color="auto"/>
            <w:right w:val="none" w:sz="0" w:space="0" w:color="auto"/>
          </w:divBdr>
        </w:div>
        <w:div w:id="2146847703">
          <w:marLeft w:val="0"/>
          <w:marRight w:val="0"/>
          <w:marTop w:val="0"/>
          <w:marBottom w:val="0"/>
          <w:divBdr>
            <w:top w:val="none" w:sz="0" w:space="0" w:color="auto"/>
            <w:left w:val="none" w:sz="0" w:space="0" w:color="auto"/>
            <w:bottom w:val="none" w:sz="0" w:space="0" w:color="auto"/>
            <w:right w:val="none" w:sz="0" w:space="0" w:color="auto"/>
          </w:divBdr>
        </w:div>
        <w:div w:id="444663141">
          <w:marLeft w:val="0"/>
          <w:marRight w:val="0"/>
          <w:marTop w:val="0"/>
          <w:marBottom w:val="0"/>
          <w:divBdr>
            <w:top w:val="none" w:sz="0" w:space="0" w:color="auto"/>
            <w:left w:val="none" w:sz="0" w:space="0" w:color="auto"/>
            <w:bottom w:val="none" w:sz="0" w:space="0" w:color="auto"/>
            <w:right w:val="none" w:sz="0" w:space="0" w:color="auto"/>
          </w:divBdr>
        </w:div>
        <w:div w:id="2114551390">
          <w:marLeft w:val="0"/>
          <w:marRight w:val="0"/>
          <w:marTop w:val="0"/>
          <w:marBottom w:val="0"/>
          <w:divBdr>
            <w:top w:val="none" w:sz="0" w:space="0" w:color="auto"/>
            <w:left w:val="none" w:sz="0" w:space="0" w:color="auto"/>
            <w:bottom w:val="none" w:sz="0" w:space="0" w:color="auto"/>
            <w:right w:val="none" w:sz="0" w:space="0" w:color="auto"/>
          </w:divBdr>
        </w:div>
        <w:div w:id="99032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2</cp:revision>
  <dcterms:created xsi:type="dcterms:W3CDTF">2020-04-28T01:40:00Z</dcterms:created>
  <dcterms:modified xsi:type="dcterms:W3CDTF">2020-04-28T01:40:00Z</dcterms:modified>
</cp:coreProperties>
</file>